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31" w:type="dxa"/>
        <w:jc w:val="left"/>
        <w:tblInd w:w="0" w:type="dxa"/>
        <w:tblLayout w:type="fixed"/>
        <w:tblCellMar>
          <w:top w:w="28" w:type="dxa"/>
          <w:left w:w="28" w:type="dxa"/>
          <w:bottom w:w="28" w:type="dxa"/>
          <w:right w:w="28" w:type="dxa"/>
        </w:tblCellMar>
      </w:tblPr>
      <w:tblGrid>
        <w:gridCol w:w="6031"/>
      </w:tblGrid>
      <w:tr>
        <w:trPr/>
        <w:tc>
          <w:tcPr>
            <w:tcW w:w="603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3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31" w:type="dxa"/>
            <w:tcBorders/>
            <w:vAlign w:val="center"/>
          </w:tcPr>
          <w:p>
            <w:pPr>
              <w:pStyle w:val="TableContents"/>
              <w:bidi w:val="0"/>
              <w:spacing w:before="0" w:after="0"/>
              <w:jc w:val="left"/>
              <w:rPr/>
            </w:pPr>
            <w:r>
              <w:rPr/>
              <w:t xml:space="preserve">UNDER THE SECURITIES EXCHANGE ACT OF 1934 </w:t>
            </w:r>
          </w:p>
        </w:tc>
      </w:tr>
      <w:tr>
        <w:trPr/>
        <w:tc>
          <w:tcPr>
            <w:tcW w:w="6031"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6031" w:type="dxa"/>
            <w:tcBorders/>
            <w:vAlign w:val="center"/>
          </w:tcPr>
          <w:p>
            <w:pPr>
              <w:pStyle w:val="TableContents"/>
              <w:bidi w:val="0"/>
              <w:spacing w:before="0" w:after="0"/>
              <w:jc w:val="center"/>
              <w:rPr>
                <w:b/>
                <w:color w:val="0000FF"/>
              </w:rPr>
            </w:pPr>
            <w:r>
              <w:rPr>
                <w:b/>
                <w:color w:val="0000FF"/>
              </w:rPr>
              <w:t>DiDi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31" w:type="dxa"/>
            <w:tcBorders/>
            <w:vAlign w:val="center"/>
          </w:tcPr>
          <w:p>
            <w:pPr>
              <w:pStyle w:val="TableContents"/>
              <w:bidi w:val="0"/>
              <w:spacing w:before="0" w:after="0"/>
              <w:jc w:val="center"/>
              <w:rPr>
                <w:b/>
                <w:color w:val="0000FF"/>
              </w:rPr>
            </w:pPr>
            <w:r>
              <w:rPr>
                <w:b/>
                <w:color w:val="0000FF"/>
              </w:rPr>
              <w:t>Class A Ordinary Shares, par value of $0.00002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31" w:type="dxa"/>
            <w:tcBorders/>
            <w:vAlign w:val="center"/>
          </w:tcPr>
          <w:p>
            <w:pPr>
              <w:pStyle w:val="TableContents"/>
              <w:bidi w:val="0"/>
              <w:spacing w:before="0" w:after="0"/>
              <w:jc w:val="center"/>
              <w:rPr>
                <w:b/>
                <w:color w:val="0000FF"/>
              </w:rPr>
            </w:pPr>
            <w:r>
              <w:rPr>
                <w:b/>
                <w:color w:val="0000FF"/>
              </w:rPr>
              <w:t>G2758H105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31" w:type="dxa"/>
            <w:tcBorders/>
            <w:vAlign w:val="center"/>
          </w:tcPr>
          <w:p>
            <w:pPr>
              <w:pStyle w:val="TableContents"/>
              <w:bidi w:val="0"/>
              <w:spacing w:before="0" w:after="0"/>
              <w:jc w:val="center"/>
              <w:rPr>
                <w:b/>
                <w:color w:val="0000FF"/>
              </w:rPr>
            </w:pPr>
            <w:r>
              <w:rPr>
                <w:b/>
                <w:color w:val="0000FF"/>
              </w:rPr>
              <w:t>05/02/2025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G2758H105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 Wei Cheng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96,718,239.00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76,171,441.00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76,171,441.00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Notes: (1) The amount set out in row (5) represents (i) 76,171,441 Class B ordinary shares held by Xiaocheng Investments Limited (beneficially owned by Will Wei Cheng, or Mr. Cheng, through a trust, of which Mr. Cheng is the settlor and Mr. Cheng and his family members are the beneficiaries) that Mr. Cheng has sole voting power over, and (ii) 20,546,798 Class A ordinary shares held by certain existing shareholders who have granted voting proxies to Mr. Cheng, in each case as of April 2, 2025. (2) The amount set out in row (7) represents 76,171,441 Class B ordinary shares held by Xiaocheng Investments Limited. (3) The amount set out in row (9) represents 76,171,441 Class B ordinary shares held by Xiaocheng Investments Limited The number of shares here represents the shares beneficially owned by Mr. Cheng in terms of economic interest, which is not the same as the shares over which Mr. Cheng has voting power as illustrated in Note (1) above. (4) The percentage of class of securities set out in row (11) is calculated by dividing the ordinary shares beneficially owned by the Reporting Person in terms of economic interests by the total number of ordinary shares outstanding as of April 2, 2025. (5) The amount set out in row (9) represents 42.3% of the total outstanding voting power. The percentage of voting power is calculated by dividing the voting power of the ordinary shares beneficially owned by the Reporting Person by the voting power of all of the Issuer's holders of Class A ordinary shares and Class B ordinary shares as a single class as of April 2, 2025. Each Class A ordinary share is entitled to one vote per share and each Class B ordinary share is entitled to ten votes per share on all matters submitted to the shareholders for a vote.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G2758H105</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Xiaocheng Investments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76,171,441.00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76,171,441.00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76,171,441.00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of class of securities set out in row (11) is calculated by dividing the ordinary shares beneficially owned by the Reporting Person in terms of economic interests by the total number of ordinary shares outstanding as of April 2, 2025. The amount set out in row (9) represents 41.2% of the total outstanding voting power. The percentage of voting power is calculated by dividing the voting power of the ordinary shares beneficially owned by the Reporting Person by the voting power of all of the Issuer's holders of Class A ordinary shares and Class B ordinary shares as a single class as of April 2, 2025. Each Class A ordinary share is entitled to one vote per share and each Class B ordinary share is entitled to ten votes per share on all matters submitted to the shareholders for a vote.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DiDi Global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DiDi Xinchenghai Building 1, Yard 6, North Ring Road, Tangjialing, Haidian Beijing, F4, 100193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Will Wei Cheng</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DiDi Xinchenghai, Building 1, Yard 6, North Ring Road, Tangjialing Haidian District, Beijing,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of $0.00002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G2758H105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76,171,441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96,718,239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76,171,441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Will Wei Cheng</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Will Wei Cheng</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Will Wei Cheng</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05/02/2025</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Xiaocheng Investments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Will Wei Cheng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 Wei Cheng /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05/02/2025</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7531" w:type="dxa"/>
        <w:jc w:val="left"/>
        <w:tblInd w:w="0" w:type="dxa"/>
        <w:tblLayout w:type="fixed"/>
        <w:tblCellMar>
          <w:top w:w="28" w:type="dxa"/>
          <w:left w:w="28" w:type="dxa"/>
          <w:bottom w:w="28" w:type="dxa"/>
          <w:right w:w="28" w:type="dxa"/>
        </w:tblCellMar>
      </w:tblPr>
      <w:tblGrid>
        <w:gridCol w:w="7531"/>
      </w:tblGrid>
      <w:tr>
        <w:trPr/>
        <w:tc>
          <w:tcPr>
            <w:tcW w:w="7531" w:type="dxa"/>
            <w:tcBorders/>
            <w:vAlign w:val="center"/>
          </w:tcPr>
          <w:p>
            <w:pPr>
              <w:pStyle w:val="TableContents"/>
              <w:bidi w:val="0"/>
              <w:spacing w:before="0" w:after="283"/>
              <w:jc w:val="center"/>
              <w:rPr>
                <w:b/>
              </w:rPr>
            </w:pPr>
            <w:r>
              <w:rPr>
                <w:b/>
              </w:rPr>
              <w:t xml:space="preserve">Exhibit Information </w:t>
            </w:r>
          </w:p>
        </w:tc>
      </w:tr>
      <w:tr>
        <w:trPr/>
        <w:tc>
          <w:tcPr>
            <w:tcW w:w="7531" w:type="dxa"/>
            <w:tcBorders/>
            <w:vAlign w:val="center"/>
          </w:tcPr>
          <w:p>
            <w:pPr>
              <w:pStyle w:val="TableContents"/>
              <w:bidi w:val="0"/>
              <w:spacing w:before="0" w:after="283"/>
              <w:jc w:val="left"/>
              <w:rPr/>
            </w:pPr>
            <w:r>
              <w:rPr/>
              <w:t>99.1 Joint Filing Agreement 99.2 Supplemental Information Regarding Item 4</w:t>
            </w:r>
          </w:p>
        </w:tc>
      </w:tr>
    </w:tbl>
    <w:p>
      <w:pPr>
        <w:pStyle w:val="TextBody"/>
        <w:bidi w:val="0"/>
        <w:jc w:val="left"/>
        <w:rPr/>
      </w:pPr>
      <w:bookmarkStart w:id="20" w:name="tm2513891d1_ex99-1.htm"/>
      <w:bookmarkStart w:id="21" w:name="kstm2513891d1_ex991"/>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with respect to the ordinary shares, par value of $0.00002 per share, of DiDi Global Inc., a Cayman Islands exempted company,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May 2, 2025.</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630"/>
        <w:gridCol w:w="590"/>
        <w:gridCol w:w="1595"/>
      </w:tblGrid>
      <w:tr>
        <w:trPr/>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Wei Cheng </w:t>
            </w:r>
          </w:p>
        </w:tc>
        <w:tc>
          <w:tcPr>
            <w:tcW w:w="21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 Wei Cheng</w:t>
            </w:r>
          </w:p>
        </w:tc>
      </w:tr>
      <w:tr>
        <w:trPr/>
        <w:tc>
          <w:tcPr>
            <w:tcW w:w="263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Xiaocheng Investments Limited</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 Wei Cheng</w:t>
            </w:r>
          </w:p>
        </w:tc>
      </w:tr>
      <w:tr>
        <w:trPr/>
        <w:tc>
          <w:tcPr>
            <w:tcW w:w="26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Wei Cheng</w:t>
            </w:r>
          </w:p>
        </w:tc>
      </w:tr>
      <w:tr>
        <w:trPr/>
        <w:tc>
          <w:tcPr>
            <w:tcW w:w="26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513891d1_ex99-2.htm"/>
      <w:bookmarkStart w:id="23" w:name="kstm2513891d1_ex992"/>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with respect to the ownership of the ordinary shares, par value of $0.00002 per share, of the Issuer by each of the Reporting Persons is provided as of April 2, 2025. The table below is prepared based on 1,164,090,480 ordinary shares (consisting of 1,087,919,039 Class A ordinary shares and 76,171,441 Class B ordinary shares) of the Issuer outstanding as of April 2,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10"/>
        <w:gridCol w:w="60"/>
        <w:gridCol w:w="1010"/>
        <w:gridCol w:w="234"/>
        <w:gridCol w:w="141"/>
        <w:gridCol w:w="652"/>
        <w:gridCol w:w="185"/>
        <w:gridCol w:w="60"/>
        <w:gridCol w:w="119"/>
        <w:gridCol w:w="756"/>
        <w:gridCol w:w="185"/>
        <w:gridCol w:w="60"/>
        <w:gridCol w:w="1107"/>
        <w:gridCol w:w="234"/>
        <w:gridCol w:w="251"/>
        <w:gridCol w:w="525"/>
        <w:gridCol w:w="60"/>
        <w:gridCol w:w="60"/>
        <w:gridCol w:w="1079"/>
        <w:gridCol w:w="234"/>
        <w:gridCol w:w="356"/>
        <w:gridCol w:w="744"/>
        <w:gridCol w:w="83"/>
      </w:tblGrid>
      <w:tr>
        <w:trPr/>
        <w:tc>
          <w:tcPr>
            <w:tcW w:w="20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Person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br/>
              <w:t>beneficially</w:t>
              <w:br/>
              <w:t xml:space="preserve">owned in </w:t>
              <w:br/>
              <w:t>terms of</w:t>
              <w:br/>
              <w:t>economic</w:t>
              <w:br/>
              <w:t>interests:</w:t>
            </w:r>
          </w:p>
        </w:tc>
        <w:tc>
          <w:tcPr>
            <w:tcW w:w="23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 of</w:t>
              <w:br/>
              <w:t>class*:</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 of</w:t>
              <w:br/>
              <w:t>aggregate</w:t>
              <w:br/>
              <w:t>voting</w:t>
              <w:br/>
              <w:t>power**:</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 power to</w:t>
              <w:br/>
              <w:t xml:space="preserve">vote or direct </w:t>
              <w:br/>
              <w:t>the vote:</w:t>
            </w:r>
          </w:p>
        </w:tc>
        <w:tc>
          <w:tcPr>
            <w:tcW w:w="23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Shared</w:t>
              <w:br/>
              <w:t xml:space="preserve">power to </w:t>
              <w:br/>
              <w:t xml:space="preserve">vote or to </w:t>
              <w:br/>
              <w:t xml:space="preserve">direct the </w:t>
              <w:br/>
              <w:t>vote: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 power to</w:t>
              <w:br/>
              <w:t>dispose or to</w:t>
              <w:br/>
              <w:t>direct the</w:t>
              <w:br/>
              <w:t>disposition</w:t>
              <w:br/>
              <w:t>of:</w:t>
            </w:r>
          </w:p>
        </w:tc>
        <w:tc>
          <w:tcPr>
            <w:tcW w:w="23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Shared</w:t>
              <w:br/>
              <w:t>power to</w:t>
              <w:br/>
              <w:t>dispose or to</w:t>
              <w:br/>
              <w:t>direct the</w:t>
              <w:br/>
              <w:t>disposition of:</w:t>
            </w:r>
          </w:p>
        </w:tc>
        <w:tc>
          <w:tcPr>
            <w:tcW w:w="8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Wei Cheng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76,171,441</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14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96,718,239</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2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76,171,441</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35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Xiaocheng Investments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76,171,441</w:t>
            </w:r>
          </w:p>
        </w:tc>
        <w:tc>
          <w:tcPr>
            <w:tcW w:w="2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14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76,171,441</w:t>
            </w:r>
          </w:p>
        </w:tc>
        <w:tc>
          <w:tcPr>
            <w:tcW w:w="2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25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76,171,441</w:t>
            </w:r>
          </w:p>
        </w:tc>
        <w:tc>
          <w:tcPr>
            <w:tcW w:w="2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35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percentage of class of securities is calculated by dividing the number of shares beneficially owned by the Reporting Person in terms of economic interests by the total number of ordinary shares outstanding as of April 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percentage of voting power is calculated by dividing the voting power of the ordinary shares beneficially owned by the Reporting Person by the voting power of all of the Issuer’s holders of Class A ordinary shares and Class B ordinary shares as a single class as of April 2, 2025. Each Class A ordinary share is entitled to one vote per share and each Class B ordinary share is entitled to ten votes per share on all matters submitted to the shareholders for a vote.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2" w:type="dxa"/>
            <w:tcBorders/>
            <w:vAlign w:val="center"/>
          </w:tcPr>
          <w:p>
            <w:pPr>
              <w:pStyle w:val="TableContents"/>
              <w:bidi w:val="0"/>
              <w:spacing w:before="0" w:after="283"/>
              <w:jc w:val="left"/>
              <w:rPr/>
            </w:pPr>
            <w:r>
              <w:rPr/>
              <w:t>Represents 76,171,441 Class B ordinary shares held by Xiaocheng Investments Limited over which Mr. Cheng has sole voting and dispositive power. Xiaocheng Investments Limited is beneficially owned by Mr. Cheng through a trust, of which Mr. Cheng is the settlor and Mr. Cheng and his family members are the beneficiaries.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28" w:type="dxa"/>
            <w:tcBorders/>
            <w:vAlign w:val="center"/>
          </w:tcPr>
          <w:p>
            <w:pPr>
              <w:pStyle w:val="TableContents"/>
              <w:bidi w:val="0"/>
              <w:spacing w:before="0" w:after="283"/>
              <w:jc w:val="left"/>
              <w:rPr/>
            </w:pPr>
            <w:r>
              <w:rPr/>
              <w:t>Represents (i) 76,171,44 Class B ordinary shares held by Xiaocheng Investments Limited over which Mr. Cheng has sole voting and dispositive power, and (ii) 20,546,798 Class A ordinary shares held by certain existing shareholders who have granted voting proxies to Mr. Cheng.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1800</Words>
  <Characters>9059</Characters>
  <CharactersWithSpaces>10852</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