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didi-20221231x20f.htm"/>
        <w:bookmarkStart w:id="1" w:name="ksdidi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bookmarkStart w:id="2" w:name="_ebb34217_635c_4947_b8ee_93261664c0dc"/>
      <w:bookmarkEnd w:id="2"/>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20-F</w:t>
      </w:r>
    </w:p>
    <w:p>
      <w:pPr>
        <w:pStyle w:val="TextBody"/>
        <w:spacing w:before="0" w:after="0"/>
        <w:ind w:left="0" w:right="0" w:hanging="0"/>
        <w:rPr/>
      </w:pPr>
      <w:r>
        <w:rPr/>
        <w:t>​</w:t>
      </w:r>
    </w:p>
    <w:p>
      <w:pPr>
        <w:pStyle w:val="Normal"/>
        <w:spacing w:before="0" w:after="0"/>
        <w:rPr>
          <w:sz w:val="4"/>
          <w:szCs w:val="4"/>
        </w:rPr>
      </w:pPr>
      <w:r>
        <w:rPr>
          <w:sz w:val="4"/>
          <w:szCs w:val="4"/>
        </w:rPr>
      </w:r>
      <w:bookmarkStart w:id="3" w:name="Tc_Z_rAMGW-RkiqRN-5uGZ8UA_9_1"/>
      <w:bookmarkStart w:id="4" w:name="Tc_q-jqTFP6E0qTnUy2darbJg_8_1"/>
      <w:bookmarkStart w:id="5" w:name="Tc_njo5xpi6Bkq5hmpJp3Dj4w_7_1"/>
      <w:bookmarkStart w:id="6" w:name="Tc__WFJbwbuEUmI6b5ReaP-Qg_6_1"/>
      <w:bookmarkStart w:id="7" w:name="Tc_mBhHtjPxAkGSP1oDxFv5aA_5_1"/>
      <w:bookmarkStart w:id="8" w:name="Tc_r4-zfqD43Eq4ZLtzFgRmVg_4_1"/>
      <w:bookmarkStart w:id="9" w:name="Tc_EEJoaDFECUWkeBymuDr3Bw_3_1"/>
      <w:bookmarkStart w:id="10" w:name="Tc_h-y8EGDs-UCETTtK1mZg6w_2_1"/>
      <w:bookmarkStart w:id="11" w:name="Tc_p5SZ06wwZUOyRqORwnOAYA_1_0"/>
      <w:bookmarkStart w:id="12" w:name="_d1a92b3f_29c2_4c0a_a8f3_b667f0fbe3bd"/>
      <w:bookmarkStart w:id="13" w:name="Tc_Z_rAMGW-RkiqRN-5uGZ8UA_9_1"/>
      <w:bookmarkStart w:id="14" w:name="Tc_q-jqTFP6E0qTnUy2darbJg_8_1"/>
      <w:bookmarkStart w:id="15" w:name="Tc_njo5xpi6Bkq5hmpJp3Dj4w_7_1"/>
      <w:bookmarkStart w:id="16" w:name="Tc__WFJbwbuEUmI6b5ReaP-Qg_6_1"/>
      <w:bookmarkStart w:id="17" w:name="Tc_mBhHtjPxAkGSP1oDxFv5aA_5_1"/>
      <w:bookmarkStart w:id="18" w:name="Tc_r4-zfqD43Eq4ZLtzFgRmVg_4_1"/>
      <w:bookmarkStart w:id="19" w:name="Tc_EEJoaDFECUWkeBymuDr3Bw_3_1"/>
      <w:bookmarkStart w:id="20" w:name="Tc_h-y8EGDs-UCETTtK1mZg6w_2_1"/>
      <w:bookmarkStart w:id="21" w:name="Tc_p5SZ06wwZUOyRqORwnOAYA_1_0"/>
      <w:bookmarkStart w:id="22" w:name="_d1a92b3f_29c2_4c0a_a8f3_b667f0fbe3bd"/>
      <w:bookmarkEnd w:id="13"/>
      <w:bookmarkEnd w:id="14"/>
      <w:bookmarkEnd w:id="15"/>
      <w:bookmarkEnd w:id="16"/>
      <w:bookmarkEnd w:id="17"/>
      <w:bookmarkEnd w:id="18"/>
      <w:bookmarkEnd w:id="19"/>
      <w:bookmarkEnd w:id="20"/>
      <w:bookmarkEnd w:id="21"/>
      <w:bookmarkEnd w:id="22"/>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9874" w:type="dxa"/>
            <w:tcBorders/>
            <w:shd w:fill="auto" w:val="clear"/>
            <w:vAlign w:val="center"/>
          </w:tcPr>
          <w:p>
            <w:pPr>
              <w:pStyle w:val="TableContents"/>
              <w:spacing w:before="0" w:after="283"/>
              <w:ind w:left="0" w:right="0" w:hanging="0"/>
              <w:rPr>
                <w:sz w:val="4"/>
                <w:szCs w:val="4"/>
              </w:rPr>
            </w:pPr>
            <w:r>
              <w:rPr>
                <w:sz w:val="4"/>
                <w:szCs w:val="4"/>
              </w:rPr>
            </w:r>
          </w:p>
        </w:tc>
      </w:tr>
      <w:tr>
        <w:trPr/>
        <w:tc>
          <w:tcPr>
            <w:tcW w:w="10205" w:type="dxa"/>
            <w:gridSpan w:val="2"/>
            <w:tcBorders/>
            <w:shd w:fill="auto" w:val="cle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REGISTRATION STATEMENT PURSUANT TO SECTION 12(b) OR 12(g) OF THE SECURITIES EXCHANGE ACT OF 1934</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For the fiscal year ended December 31, 2022.</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shd w:fill="auto" w:val="clear"/>
            <w:vAlign w:val="center"/>
          </w:tcPr>
          <w:p>
            <w:pPr>
              <w:pStyle w:val="TableContents"/>
              <w:spacing w:before="0" w:after="0"/>
              <w:ind w:left="0" w:right="0" w:hanging="0"/>
              <w:jc w:val="both"/>
              <w:rPr/>
            </w:pPr>
            <w:r>
              <w:rPr/>
              <w:t>☐</w:t>
            </w:r>
          </w:p>
        </w:tc>
        <w:tc>
          <w:tcPr>
            <w:tcW w:w="9874" w:type="dxa"/>
            <w:tcBorders/>
            <w:shd w:fill="auto" w:val="cle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Date of event requiring this shell company report </w:t>
      </w:r>
      <w:r>
        <w:rPr>
          <w:rFonts w:ascii="Times New Roman;Times;serif" w:hAnsi="Times New Roman;Times;serif"/>
          <w:sz w:val="18"/>
        </w:rPr>
        <w:t>            </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001-40541</w:t>
      </w:r>
    </w:p>
    <w:p>
      <w:pPr>
        <w:pStyle w:val="TextBody"/>
        <w:spacing w:before="0" w:after="60"/>
        <w:ind w:left="0" w:right="0" w:hanging="0"/>
        <w:jc w:val="center"/>
        <w:rPr>
          <w:rFonts w:ascii="Times New Roman;Times;serif" w:hAnsi="Times New Roman;Times;serif"/>
          <w:b/>
          <w:sz w:val="28"/>
        </w:rPr>
      </w:pPr>
      <w:r>
        <w:rPr>
          <w:rFonts w:ascii="Times New Roman;Times;serif" w:hAnsi="Times New Roman;Times;serif"/>
          <w:b/>
          <w:sz w:val="28"/>
        </w:rPr>
        <w:t>DiDi Global Inc.</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(Translation of Registrant’s name into English)</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(Jurisdiction of incorporation or organization)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DiDi Xinchenghai</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Building 1, Yard 6, North Ring Road, Tangjialing</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Haidian District, Beijing</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Alan Yue Zhuo, Chief Financial Officer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Telephone: +86 10-8304-3181</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ir@didiglobal.com</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DiDi Xinchenghai</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Building 1, Yard 6, North Ring Road, Tangjialing</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Haidian District, Beijing</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p>
      <w:pPr>
        <w:pStyle w:val="TextBody"/>
        <w:spacing w:before="0" w:after="0"/>
        <w:ind w:left="0" w:right="0" w:hanging="0"/>
        <w:jc w:val="center"/>
        <w:rPr/>
      </w:pPr>
      <w:r>
        <w:rPr/>
        <w:t>​</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(Name, Telephone, Email and/or Facsimile number and Address of Company Contact Person)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Class A ordinary shares, par value US$0.00002 per share </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American depositary shares (four American depositary shares representing one Class A ordinary share)</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Class)</w:t>
      </w:r>
    </w:p>
    <w:p>
      <w:pPr>
        <w:pStyle w:val="TextBody"/>
        <w:spacing w:before="0" w:after="0"/>
        <w:ind w:left="0" w:right="0" w:hanging="0"/>
        <w:jc w:val="center"/>
        <w:rPr/>
      </w:pPr>
      <w:r>
        <w:rPr/>
        <w:t>​</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Indicate the number of outstanding shares of each of the issuer’s classes of capital or common stock as of the close of the period covered by the annual report.</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As of December 31, 2022, there were 1,214,505,793  ordinary shares outstanding, par value US$0.00002 per share, comprising 1,097,169,957 Class A ordinary shares  (excluding 12,263,957 Class A Ordinary Shares repurchased by us and not yet cancelled or issued to our depositary bank for bulk issuance of ADSs reserved for future issuances upon the exercise or vesting of awards granted under our Share Incentive Plans) and 117,335,836 Class B ordinary shares.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If this report is an annual or transition report, indicate by check mark if the registrant is not required to file reports pursuant to Section 13 or 15(d) of the Securities Exchange Act of 1934.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Note – Checking the box above will not relieve any registrant required to file reports pursuant to Section 13 or 15(d) of the Securities Exchange Act of 1934 from their obligations under those Sections.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6124" w:type="dxa"/>
        <w:jc w:val="left"/>
        <w:tblInd w:w="0" w:type="dxa"/>
        <w:tblCellMar>
          <w:top w:w="0" w:type="dxa"/>
          <w:left w:w="0" w:type="dxa"/>
          <w:bottom w:w="0" w:type="dxa"/>
          <w:right w:w="0" w:type="dxa"/>
        </w:tblCellMar>
      </w:tblPr>
      <w:tblGrid>
        <w:gridCol w:w="1591"/>
        <w:gridCol w:w="1186"/>
        <w:gridCol w:w="1441"/>
        <w:gridCol w:w="1906"/>
      </w:tblGrid>
      <w:tr>
        <w:trPr/>
        <w:tc>
          <w:tcPr>
            <w:tcW w:w="15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1186"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Accelerated filer ☐</w:t>
            </w:r>
          </w:p>
        </w:tc>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Non-accelerated filer ☐</w:t>
            </w:r>
          </w:p>
        </w:tc>
        <w:tc>
          <w:tcPr>
            <w:tcW w:w="1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Yes ☐ No</w:t>
      </w:r>
    </w:p>
    <w:p>
      <w:pPr>
        <w:pStyle w:val="TextBody"/>
        <w:spacing w:before="0" w:after="160"/>
        <w:ind w:left="0" w:right="0" w:hanging="0"/>
        <w:jc w:val="both"/>
        <w:rPr/>
      </w:pPr>
      <w:r>
        <w:rPr/>
        <w:t xml:space="preserve">† </w:t>
      </w:r>
      <w:r>
        <w:rPr>
          <w:rFonts w:ascii="Times New Roman;Times;serif" w:hAnsi="Times New Roman;Times;serif"/>
          <w:sz w:val="14"/>
        </w:rPr>
        <w:t>The term “new or revised financial accounting standard” refers to any update issued by the Financial Accounting Standards Board to its Accounting Standards Codification after April 5, 2012.</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Indicate by check mark which basis of accounting the registrant has used to prepare the financial statements included in this filing:</w:t>
      </w:r>
    </w:p>
    <w:tbl>
      <w:tblPr>
        <w:tblW w:w="7638" w:type="dxa"/>
        <w:jc w:val="left"/>
        <w:tblInd w:w="0" w:type="dxa"/>
        <w:tblCellMar>
          <w:top w:w="0" w:type="dxa"/>
          <w:left w:w="0" w:type="dxa"/>
          <w:bottom w:w="0" w:type="dxa"/>
          <w:right w:w="0" w:type="dxa"/>
        </w:tblCellMar>
      </w:tblPr>
      <w:tblGrid>
        <w:gridCol w:w="946"/>
        <w:gridCol w:w="6076"/>
        <w:gridCol w:w="616"/>
      </w:tblGrid>
      <w:tr>
        <w:trPr/>
        <w:tc>
          <w:tcPr>
            <w:tcW w:w="9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14"/>
              </w:rPr>
              <w:t>U.S. GAAP</w:t>
            </w:r>
            <w:r>
              <w:rPr>
                <w:rFonts w:ascii="Times New Roman;Times;serif" w:hAnsi="Times New Roman;Times;serif"/>
                <w:sz w:val="20"/>
              </w:rPr>
              <w:t xml:space="preserve"> ☒</w:t>
            </w:r>
          </w:p>
        </w:tc>
        <w:tc>
          <w:tcPr>
            <w:tcW w:w="6076"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International Financial Reporting Standards as issued by the International Accounting Standards Board </w:t>
            </w:r>
          </w:p>
        </w:tc>
        <w:tc>
          <w:tcPr>
            <w:tcW w:w="61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w:t>
            </w:r>
          </w:p>
        </w:tc>
      </w:tr>
    </w:tbl>
    <w:p>
      <w:pPr>
        <w:pStyle w:val="TextBody"/>
        <w:spacing w:before="0" w:after="0"/>
        <w:ind w:left="0" w:right="0" w:hanging="0"/>
        <w:rPr/>
      </w:pPr>
      <w:r>
        <w:rPr/>
        <w:t>​</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If “Other” has been checked in response to the previous question, indicate by check mark which financial statement item the registrant has elected to follow. ☐ Item 17 ☐ Item 18</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14"/>
        </w:rPr>
        <w:t xml:space="preserve">If this is an annual report, indicate by check mark whether the registrant is a shell company (as defined in Rule 12b-2 of the Exchange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spacing w:before="0" w:after="160"/>
        <w:ind w:left="0" w:right="0" w:hanging="0"/>
        <w:jc w:val="both"/>
        <w:rPr>
          <w:rFonts w:ascii="Times New Roman;Times;serif" w:hAnsi="Times New Roman;Times;serif"/>
          <w:sz w:val="14"/>
        </w:rPr>
      </w:pPr>
      <w:r>
        <w:rPr>
          <w:rFonts w:ascii="Times New Roman;Times;serif" w:hAnsi="Times New Roman;Times;serif"/>
          <w:sz w:val="14"/>
        </w:rPr>
        <w:t>(APPLICABLE ONLY TO ISSUERS INVOLVED IN BANKRUPTCY PROCEEDINGS DURING THE PAST FIVE YEARS)</w:t>
      </w:r>
    </w:p>
    <w:p>
      <w:pPr>
        <w:pStyle w:val="TextBody"/>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spacing w:before="0" w:after="0"/>
        <w:ind w:left="0" w:right="0" w:hanging="0"/>
        <w:rPr/>
      </w:pPr>
      <w:r>
        <w:rPr/>
        <w:t>​</w:t>
      </w:r>
    </w:p>
    <w:p>
      <w:pPr>
        <w:pStyle w:val="TextBody"/>
        <w:pBdr>
          <w:top w:val="single" w:sz="8" w:space="1" w:color="000000"/>
          <w:bottom w:val="single" w:sz="24" w:space="1" w:color="000000"/>
        </w:pBdr>
        <w:spacing w:before="0" w:after="0"/>
        <w:ind w:left="0" w:right="0" w:hanging="0"/>
        <w:jc w:val="center"/>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 w:name="TOC"/>
      <w:bookmarkStart w:id="24" w:name="_000d2902_bee6_4c6d_ad0d_773608423c10"/>
      <w:bookmarkEnd w:id="23"/>
      <w:bookmarkEnd w:id="24"/>
      <w:r>
        <w:rPr>
          <w:rFonts w:ascii="Times New Roman;Times;serif" w:hAnsi="Times New Roman;Times;serif"/>
          <w:b/>
          <w:sz w:val="20"/>
        </w:rPr>
        <w:t>TABLE OF CONTENTS</w:t>
      </w:r>
    </w:p>
    <w:p>
      <w:pPr>
        <w:pStyle w:val="TextBody"/>
        <w:spacing w:before="0" w:after="0"/>
        <w:ind w:left="0" w:right="0" w:hanging="0"/>
        <w:rPr/>
      </w:pPr>
      <w:r>
        <w:rPr/>
        <w:t>​</w:t>
      </w:r>
    </w:p>
    <w:tbl>
      <w:tblPr>
        <w:tblW w:w="8970" w:type="dxa"/>
        <w:jc w:val="left"/>
        <w:tblInd w:w="0" w:type="dxa"/>
        <w:tblCellMar>
          <w:top w:w="0" w:type="dxa"/>
          <w:left w:w="0" w:type="dxa"/>
          <w:bottom w:w="0" w:type="dxa"/>
          <w:right w:w="0" w:type="dxa"/>
        </w:tblCellMar>
      </w:tblPr>
      <w:tblGrid>
        <w:gridCol w:w="841"/>
        <w:gridCol w:w="901"/>
        <w:gridCol w:w="6361"/>
        <w:gridCol w:w="326"/>
        <w:gridCol w:w="541"/>
      </w:tblGrid>
      <w:tr>
        <w:trPr/>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283"/>
              <w:ind w:left="0" w:right="0" w:hanging="0"/>
              <w:rPr>
                <w:sz w:val="4"/>
                <w:szCs w:val="4"/>
              </w:rPr>
            </w:pPr>
            <w:r>
              <w:rPr>
                <w:sz w:val="4"/>
                <w:szCs w:val="4"/>
              </w:rPr>
            </w:r>
          </w:p>
        </w:tc>
      </w:tr>
      <w:tr>
        <w:trPr/>
        <w:tc>
          <w:tcPr>
            <w:tcW w:w="8103" w:type="dxa"/>
            <w:gridSpan w:val="3"/>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03" w:type="dxa"/>
            <w:gridSpan w:val="3"/>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8103" w:type="dxa"/>
            <w:gridSpan w:val="3"/>
            <w:tcBorders/>
            <w:shd w:fill="auto" w:val="clear"/>
            <w:vAlign w:val="center"/>
          </w:tcPr>
          <w:p>
            <w:pPr>
              <w:pStyle w:val="TableContents"/>
              <w:spacing w:before="0" w:after="0"/>
              <w:ind w:left="0" w:right="0" w:hanging="0"/>
              <w:rPr/>
            </w:pPr>
            <w:hyperlink w:anchor="INTRODUCTION_655557">
              <w:r>
                <w:rPr>
                  <w:rStyle w:val="InternetLink"/>
                  <w:rFonts w:ascii="Times New Roman;Times;serif" w:hAnsi="Times New Roman;Times;serif"/>
                  <w:b w:val="false"/>
                  <w:i w:val="false"/>
                  <w:caps w:val="false"/>
                  <w:smallCaps w:val="false"/>
                  <w:sz w:val="20"/>
                </w:rPr>
                <w:t>INTRODUCTION</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03" w:type="dxa"/>
            <w:gridSpan w:val="3"/>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8103" w:type="dxa"/>
            <w:gridSpan w:val="3"/>
            <w:tcBorders/>
            <w:shd w:fill="auto" w:val="clear"/>
            <w:vAlign w:val="center"/>
          </w:tcPr>
          <w:p>
            <w:pPr>
              <w:pStyle w:val="TableContents"/>
              <w:spacing w:before="0" w:after="0"/>
              <w:ind w:left="0" w:right="0" w:hanging="0"/>
              <w:rPr/>
            </w:pPr>
            <w:hyperlink w:anchor="FORWARDLOOKINGINFORMATION_228041">
              <w:r>
                <w:rPr>
                  <w:rStyle w:val="InternetLink"/>
                  <w:rFonts w:ascii="Times New Roman;Times;serif" w:hAnsi="Times New Roman;Times;serif"/>
                  <w:b w:val="false"/>
                  <w:i w:val="false"/>
                  <w:caps w:val="false"/>
                  <w:smallCaps w:val="false"/>
                  <w:sz w:val="20"/>
                </w:rPr>
                <w:t>FORWARD-LOOKING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03" w:type="dxa"/>
            <w:gridSpan w:val="3"/>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841" w:type="dxa"/>
            <w:tcBorders/>
            <w:shd w:fill="auto" w:val="clear"/>
            <w:vAlign w:val="center"/>
          </w:tcPr>
          <w:p>
            <w:pPr>
              <w:pStyle w:val="TableContents"/>
              <w:spacing w:before="0" w:after="0"/>
              <w:ind w:left="0" w:right="0" w:hanging="0"/>
              <w:rPr/>
            </w:pPr>
            <w:hyperlink w:anchor="PARTI_449133">
              <w:r>
                <w:rPr>
                  <w:rStyle w:val="InternetLink"/>
                  <w:rFonts w:ascii="Times New Roman;Times;serif" w:hAnsi="Times New Roman;Times;serif"/>
                  <w:b w:val="false"/>
                  <w:i w:val="false"/>
                  <w:caps w:val="false"/>
                  <w:smallCaps w:val="false"/>
                  <w:sz w:val="20"/>
                </w:rPr>
                <w:t>PART I</w:t>
              </w:r>
            </w:hyperlink>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6361"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6361"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3KeyInformation_524739">
              <w:r>
                <w:rPr>
                  <w:rStyle w:val="InternetLink"/>
                  <w:rFonts w:ascii="Times New Roman;Times;serif" w:hAnsi="Times New Roman;Times;serif"/>
                  <w:b w:val="false"/>
                  <w:i w:val="false"/>
                  <w:caps w:val="false"/>
                  <w:smallCaps w:val="false"/>
                  <w:sz w:val="20"/>
                </w:rPr>
                <w:t>Item 3.</w:t>
              </w:r>
            </w:hyperlink>
          </w:p>
        </w:tc>
        <w:tc>
          <w:tcPr>
            <w:tcW w:w="6361" w:type="dxa"/>
            <w:tcBorders/>
            <w:shd w:fill="auto" w:val="clear"/>
            <w:vAlign w:val="center"/>
          </w:tcPr>
          <w:p>
            <w:pPr>
              <w:pStyle w:val="TableContents"/>
              <w:spacing w:before="0" w:after="0"/>
              <w:ind w:left="0" w:right="0" w:hanging="0"/>
              <w:rPr/>
            </w:pPr>
            <w:hyperlink w:anchor="Item3KeyInformation_524739">
              <w:r>
                <w:rPr>
                  <w:rStyle w:val="InternetLink"/>
                  <w:rFonts w:ascii="Times New Roman;Times;serif" w:hAnsi="Times New Roman;Times;serif"/>
                  <w:b w:val="false"/>
                  <w:i w:val="false"/>
                  <w:caps w:val="false"/>
                  <w:smallCaps w:val="false"/>
                  <w:sz w:val="20"/>
                </w:rPr>
                <w:t>Key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4InformationontheCompany_668773">
              <w:r>
                <w:rPr>
                  <w:rStyle w:val="InternetLink"/>
                  <w:rFonts w:ascii="Times New Roman;Times;serif" w:hAnsi="Times New Roman;Times;serif"/>
                  <w:b w:val="false"/>
                  <w:i w:val="false"/>
                  <w:caps w:val="false"/>
                  <w:smallCaps w:val="false"/>
                  <w:sz w:val="20"/>
                </w:rPr>
                <w:t>Item 4.</w:t>
              </w:r>
            </w:hyperlink>
          </w:p>
        </w:tc>
        <w:tc>
          <w:tcPr>
            <w:tcW w:w="6361" w:type="dxa"/>
            <w:tcBorders/>
            <w:shd w:fill="auto" w:val="clear"/>
            <w:vAlign w:val="center"/>
          </w:tcPr>
          <w:p>
            <w:pPr>
              <w:pStyle w:val="TableContents"/>
              <w:spacing w:before="0" w:after="0"/>
              <w:ind w:left="0" w:right="0" w:hanging="0"/>
              <w:rPr/>
            </w:pPr>
            <w:hyperlink w:anchor="Item4InformationontheCompany_668773">
              <w:r>
                <w:rPr>
                  <w:rStyle w:val="InternetLink"/>
                  <w:rFonts w:ascii="Times New Roman;Times;serif" w:hAnsi="Times New Roman;Times;serif"/>
                  <w:b w:val="false"/>
                  <w:i w:val="false"/>
                  <w:caps w:val="false"/>
                  <w:smallCaps w:val="false"/>
                  <w:sz w:val="20"/>
                </w:rPr>
                <w:t>Information on the Company</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4AUnresolvedStaffComments_600028">
              <w:r>
                <w:rPr>
                  <w:rStyle w:val="InternetLink"/>
                  <w:rFonts w:ascii="Times New Roman;Times;serif" w:hAnsi="Times New Roman;Times;serif"/>
                  <w:b w:val="false"/>
                  <w:i w:val="false"/>
                  <w:caps w:val="false"/>
                  <w:smallCaps w:val="false"/>
                  <w:sz w:val="20"/>
                </w:rPr>
                <w:t>Item 4A.</w:t>
              </w:r>
            </w:hyperlink>
          </w:p>
        </w:tc>
        <w:tc>
          <w:tcPr>
            <w:tcW w:w="6361" w:type="dxa"/>
            <w:tcBorders/>
            <w:shd w:fill="auto" w:val="clear"/>
            <w:vAlign w:val="center"/>
          </w:tcPr>
          <w:p>
            <w:pPr>
              <w:pStyle w:val="TableContents"/>
              <w:spacing w:before="0" w:after="0"/>
              <w:ind w:left="0" w:right="0" w:hanging="0"/>
              <w:rPr/>
            </w:pPr>
            <w:hyperlink w:anchor="Item4AUnresolvedStaffComments_600028">
              <w:r>
                <w:rPr>
                  <w:rStyle w:val="InternetLink"/>
                  <w:rFonts w:ascii="Times New Roman;Times;serif" w:hAnsi="Times New Roman;Times;serif"/>
                  <w:b w:val="false"/>
                  <w:i w:val="false"/>
                  <w:caps w:val="false"/>
                  <w:smallCaps w:val="false"/>
                  <w:sz w:val="20"/>
                </w:rPr>
                <w:t>Unresolved Staff Comments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6361"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6361"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6361"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8FinancialInformation_388983">
              <w:r>
                <w:rPr>
                  <w:rStyle w:val="InternetLink"/>
                  <w:rFonts w:ascii="Times New Roman;Times;serif" w:hAnsi="Times New Roman;Times;serif"/>
                  <w:b w:val="false"/>
                  <w:i w:val="false"/>
                  <w:caps w:val="false"/>
                  <w:smallCaps w:val="false"/>
                  <w:sz w:val="20"/>
                </w:rPr>
                <w:t>Item 8.</w:t>
              </w:r>
            </w:hyperlink>
          </w:p>
        </w:tc>
        <w:tc>
          <w:tcPr>
            <w:tcW w:w="6361" w:type="dxa"/>
            <w:tcBorders/>
            <w:shd w:fill="auto" w:val="clear"/>
            <w:vAlign w:val="center"/>
          </w:tcPr>
          <w:p>
            <w:pPr>
              <w:pStyle w:val="TableContents"/>
              <w:spacing w:before="0" w:after="0"/>
              <w:ind w:left="0" w:right="0" w:hanging="0"/>
              <w:rPr/>
            </w:pPr>
            <w:hyperlink w:anchor="Item8FinancialInformation_388983">
              <w:r>
                <w:rPr>
                  <w:rStyle w:val="InternetLink"/>
                  <w:rFonts w:ascii="Times New Roman;Times;serif" w:hAnsi="Times New Roman;Times;serif"/>
                  <w:b w:val="false"/>
                  <w:i w:val="false"/>
                  <w:caps w:val="false"/>
                  <w:smallCaps w:val="false"/>
                  <w:sz w:val="20"/>
                </w:rPr>
                <w:t>Financial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9TheOfferandListing_802528">
              <w:r>
                <w:rPr>
                  <w:rStyle w:val="InternetLink"/>
                  <w:rFonts w:ascii="Times New Roman;Times;serif" w:hAnsi="Times New Roman;Times;serif"/>
                  <w:b w:val="false"/>
                  <w:i w:val="false"/>
                  <w:caps w:val="false"/>
                  <w:smallCaps w:val="false"/>
                  <w:sz w:val="20"/>
                </w:rPr>
                <w:t>Item 9.</w:t>
              </w:r>
            </w:hyperlink>
          </w:p>
        </w:tc>
        <w:tc>
          <w:tcPr>
            <w:tcW w:w="6361" w:type="dxa"/>
            <w:tcBorders/>
            <w:shd w:fill="auto" w:val="clear"/>
            <w:vAlign w:val="center"/>
          </w:tcPr>
          <w:p>
            <w:pPr>
              <w:pStyle w:val="TableContents"/>
              <w:spacing w:before="0" w:after="0"/>
              <w:ind w:left="0" w:right="0" w:hanging="0"/>
              <w:rPr/>
            </w:pPr>
            <w:hyperlink w:anchor="Item9TheOfferandListing_802528">
              <w:r>
                <w:rPr>
                  <w:rStyle w:val="InternetLink"/>
                  <w:rFonts w:ascii="Times New Roman;Times;serif" w:hAnsi="Times New Roman;Times;serif"/>
                  <w:b w:val="false"/>
                  <w:i w:val="false"/>
                  <w:caps w:val="false"/>
                  <w:smallCaps w:val="false"/>
                  <w:sz w:val="20"/>
                </w:rPr>
                <w:t>The Offer and Listing</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0AdditionalInformation_665012">
              <w:r>
                <w:rPr>
                  <w:rStyle w:val="InternetLink"/>
                  <w:rFonts w:ascii="Times New Roman;Times;serif" w:hAnsi="Times New Roman;Times;serif"/>
                  <w:b w:val="false"/>
                  <w:i w:val="false"/>
                  <w:caps w:val="false"/>
                  <w:smallCaps w:val="false"/>
                  <w:sz w:val="20"/>
                </w:rPr>
                <w:t>Item 10.</w:t>
              </w:r>
            </w:hyperlink>
          </w:p>
        </w:tc>
        <w:tc>
          <w:tcPr>
            <w:tcW w:w="6361" w:type="dxa"/>
            <w:tcBorders/>
            <w:shd w:fill="auto" w:val="clear"/>
            <w:vAlign w:val="center"/>
          </w:tcPr>
          <w:p>
            <w:pPr>
              <w:pStyle w:val="TableContents"/>
              <w:spacing w:before="0" w:after="0"/>
              <w:ind w:left="0" w:right="0" w:hanging="0"/>
              <w:rPr/>
            </w:pPr>
            <w:hyperlink w:anchor="Item10AdditionalInformation_665012">
              <w:r>
                <w:rPr>
                  <w:rStyle w:val="InternetLink"/>
                  <w:rFonts w:ascii="Times New Roman;Times;serif" w:hAnsi="Times New Roman;Times;serif"/>
                  <w:b w:val="false"/>
                  <w:i w:val="false"/>
                  <w:caps w:val="false"/>
                  <w:smallCaps w:val="false"/>
                  <w:sz w:val="20"/>
                </w:rPr>
                <w:t>Additional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6361"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6361"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841" w:type="dxa"/>
            <w:tcBorders/>
            <w:shd w:fill="auto" w:val="clear"/>
            <w:vAlign w:val="center"/>
          </w:tcPr>
          <w:p>
            <w:pPr>
              <w:pStyle w:val="TableContents"/>
              <w:spacing w:before="0" w:after="0"/>
              <w:ind w:left="0" w:right="0" w:hanging="0"/>
              <w:rPr/>
            </w:pPr>
            <w:hyperlink w:anchor="PARTII_8867">
              <w:r>
                <w:rPr>
                  <w:rStyle w:val="InternetLink"/>
                  <w:rFonts w:ascii="Times New Roman;Times;serif" w:hAnsi="Times New Roman;Times;serif"/>
                  <w:b w:val="false"/>
                  <w:i w:val="false"/>
                  <w:caps w:val="false"/>
                  <w:smallCaps w:val="false"/>
                  <w:sz w:val="20"/>
                </w:rPr>
                <w:t>PART II</w:t>
              </w:r>
            </w:hyperlink>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6361"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6361"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5ControlsandProcedures_498009">
              <w:r>
                <w:rPr>
                  <w:rStyle w:val="InternetLink"/>
                  <w:rFonts w:ascii="Times New Roman;Times;serif" w:hAnsi="Times New Roman;Times;serif"/>
                  <w:b w:val="false"/>
                  <w:i w:val="false"/>
                  <w:caps w:val="false"/>
                  <w:smallCaps w:val="false"/>
                  <w:sz w:val="20"/>
                </w:rPr>
                <w:t>Item 15.</w:t>
              </w:r>
            </w:hyperlink>
          </w:p>
        </w:tc>
        <w:tc>
          <w:tcPr>
            <w:tcW w:w="6361" w:type="dxa"/>
            <w:tcBorders/>
            <w:shd w:fill="auto" w:val="clear"/>
            <w:vAlign w:val="center"/>
          </w:tcPr>
          <w:p>
            <w:pPr>
              <w:pStyle w:val="TableContents"/>
              <w:spacing w:before="0" w:after="0"/>
              <w:ind w:left="0" w:right="0" w:hanging="0"/>
              <w:rPr/>
            </w:pPr>
            <w:hyperlink w:anchor="Item15ControlsandProcedures_498009">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AAuditCommitteeFinancialExpert_604">
              <w:r>
                <w:rPr>
                  <w:rStyle w:val="InternetLink"/>
                  <w:rFonts w:ascii="Times New Roman;Times;serif" w:hAnsi="Times New Roman;Times;serif"/>
                  <w:b w:val="false"/>
                  <w:i w:val="false"/>
                  <w:caps w:val="false"/>
                  <w:smallCaps w:val="false"/>
                  <w:sz w:val="20"/>
                </w:rPr>
                <w:t>Item 16A.</w:t>
              </w:r>
            </w:hyperlink>
          </w:p>
        </w:tc>
        <w:tc>
          <w:tcPr>
            <w:tcW w:w="6361" w:type="dxa"/>
            <w:tcBorders/>
            <w:shd w:fill="auto" w:val="clear"/>
            <w:vAlign w:val="center"/>
          </w:tcPr>
          <w:p>
            <w:pPr>
              <w:pStyle w:val="TableContents"/>
              <w:spacing w:before="0" w:after="0"/>
              <w:ind w:left="0" w:right="0" w:hanging="0"/>
              <w:rPr/>
            </w:pPr>
            <w:hyperlink w:anchor="Item16AAuditCommitteeFinancialExpert_604">
              <w:r>
                <w:rPr>
                  <w:rStyle w:val="InternetLink"/>
                  <w:rFonts w:ascii="Times New Roman;Times;serif" w:hAnsi="Times New Roman;Times;serif"/>
                  <w:b w:val="false"/>
                  <w:i w:val="false"/>
                  <w:caps w:val="false"/>
                  <w:smallCaps w:val="false"/>
                  <w:sz w:val="20"/>
                </w:rPr>
                <w:t>Audit Committee Financial Expert</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BCodeofEthics_682955">
              <w:r>
                <w:rPr>
                  <w:rStyle w:val="InternetLink"/>
                  <w:rFonts w:ascii="Times New Roman;Times;serif" w:hAnsi="Times New Roman;Times;serif"/>
                  <w:b w:val="false"/>
                  <w:i w:val="false"/>
                  <w:caps w:val="false"/>
                  <w:smallCaps w:val="false"/>
                  <w:sz w:val="20"/>
                </w:rPr>
                <w:t>Item 16B.</w:t>
              </w:r>
            </w:hyperlink>
          </w:p>
        </w:tc>
        <w:tc>
          <w:tcPr>
            <w:tcW w:w="6361" w:type="dxa"/>
            <w:tcBorders/>
            <w:shd w:fill="auto" w:val="clear"/>
            <w:vAlign w:val="center"/>
          </w:tcPr>
          <w:p>
            <w:pPr>
              <w:pStyle w:val="TableContents"/>
              <w:spacing w:before="0" w:after="0"/>
              <w:ind w:left="0" w:right="0" w:hanging="0"/>
              <w:rPr/>
            </w:pPr>
            <w:hyperlink w:anchor="Item16BCodeofEthics_682955">
              <w:r>
                <w:rPr>
                  <w:rStyle w:val="InternetLink"/>
                  <w:rFonts w:ascii="Times New Roman;Times;serif" w:hAnsi="Times New Roman;Times;serif"/>
                  <w:b w:val="false"/>
                  <w:i w:val="false"/>
                  <w:caps w:val="false"/>
                  <w:smallCaps w:val="false"/>
                  <w:sz w:val="20"/>
                </w:rPr>
                <w:t>Code of Ethics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6361"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6361"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6361"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GCorporateGovernance_25823">
              <w:r>
                <w:rPr>
                  <w:rStyle w:val="InternetLink"/>
                  <w:rFonts w:ascii="Times New Roman;Times;serif" w:hAnsi="Times New Roman;Times;serif"/>
                  <w:b w:val="false"/>
                  <w:i w:val="false"/>
                  <w:caps w:val="false"/>
                  <w:smallCaps w:val="false"/>
                  <w:sz w:val="20"/>
                </w:rPr>
                <w:t>Item 16G.</w:t>
              </w:r>
            </w:hyperlink>
          </w:p>
        </w:tc>
        <w:tc>
          <w:tcPr>
            <w:tcW w:w="6361" w:type="dxa"/>
            <w:tcBorders/>
            <w:shd w:fill="auto" w:val="clear"/>
            <w:vAlign w:val="center"/>
          </w:tcPr>
          <w:p>
            <w:pPr>
              <w:pStyle w:val="TableContents"/>
              <w:spacing w:before="0" w:after="0"/>
              <w:ind w:left="0" w:right="0" w:hanging="0"/>
              <w:rPr/>
            </w:pPr>
            <w:hyperlink w:anchor="Item16GCorporateGovernance_25823">
              <w:r>
                <w:rPr>
                  <w:rStyle w:val="InternetLink"/>
                  <w:rFonts w:ascii="Times New Roman;Times;serif" w:hAnsi="Times New Roman;Times;serif"/>
                  <w:b w:val="false"/>
                  <w:i w:val="false"/>
                  <w:caps w:val="false"/>
                  <w:smallCaps w:val="false"/>
                  <w:sz w:val="20"/>
                </w:rPr>
                <w:t>Corporate Governance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HMineSafetyDisclosure_120723">
              <w:r>
                <w:rPr>
                  <w:rStyle w:val="InternetLink"/>
                  <w:rFonts w:ascii="Times New Roman;Times;serif" w:hAnsi="Times New Roman;Times;serif"/>
                  <w:b w:val="false"/>
                  <w:i w:val="false"/>
                  <w:caps w:val="false"/>
                  <w:smallCaps w:val="false"/>
                  <w:sz w:val="20"/>
                </w:rPr>
                <w:t>Item 16H.</w:t>
              </w:r>
            </w:hyperlink>
          </w:p>
        </w:tc>
        <w:tc>
          <w:tcPr>
            <w:tcW w:w="6361" w:type="dxa"/>
            <w:tcBorders/>
            <w:shd w:fill="auto" w:val="clear"/>
            <w:vAlign w:val="center"/>
          </w:tcPr>
          <w:p>
            <w:pPr>
              <w:pStyle w:val="TableContents"/>
              <w:spacing w:before="0" w:after="0"/>
              <w:ind w:left="0" w:right="0" w:hanging="0"/>
              <w:rPr/>
            </w:pPr>
            <w:hyperlink w:anchor="Item16HMineSafetyDisclosure_120723">
              <w:r>
                <w:rPr>
                  <w:rStyle w:val="InternetLink"/>
                  <w:rFonts w:ascii="Times New Roman;Times;serif" w:hAnsi="Times New Roman;Times;serif"/>
                  <w:b w:val="false"/>
                  <w:i w:val="false"/>
                  <w:caps w:val="false"/>
                  <w:smallCaps w:val="false"/>
                  <w:sz w:val="20"/>
                </w:rPr>
                <w:t>Mine Safety Disclosure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6361"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6JInsidertradingpolicies_184078">
              <w:r>
                <w:rPr>
                  <w:rStyle w:val="InternetLink"/>
                  <w:rFonts w:ascii="Times New Roman;Times;serif" w:hAnsi="Times New Roman;Times;serif"/>
                  <w:b w:val="false"/>
                  <w:i w:val="false"/>
                  <w:caps w:val="false"/>
                  <w:smallCaps w:val="false"/>
                  <w:sz w:val="20"/>
                </w:rPr>
                <w:t>Item 16J.</w:t>
              </w:r>
            </w:hyperlink>
          </w:p>
        </w:tc>
        <w:tc>
          <w:tcPr>
            <w:tcW w:w="6361" w:type="dxa"/>
            <w:tcBorders/>
            <w:shd w:fill="auto" w:val="clear"/>
            <w:vAlign w:val="center"/>
          </w:tcPr>
          <w:p>
            <w:pPr>
              <w:pStyle w:val="TableContents"/>
              <w:spacing w:before="0" w:after="0"/>
              <w:ind w:left="0" w:right="0" w:hanging="0"/>
              <w:rPr/>
            </w:pPr>
            <w:hyperlink w:anchor="Item16JInsidertradingpolicies_184078">
              <w:r>
                <w:rPr>
                  <w:rStyle w:val="InternetLink"/>
                  <w:rFonts w:ascii="Times New Roman;Times;serif" w:hAnsi="Times New Roman;Times;serif"/>
                  <w:b w:val="false"/>
                  <w:i w:val="false"/>
                  <w:caps w:val="false"/>
                  <w:smallCaps w:val="false"/>
                  <w:sz w:val="20"/>
                </w:rPr>
                <w:t>Insider trading policies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841" w:type="dxa"/>
            <w:tcBorders/>
            <w:shd w:fill="auto" w:val="clear"/>
            <w:vAlign w:val="center"/>
          </w:tcPr>
          <w:p>
            <w:pPr>
              <w:pStyle w:val="TableContents"/>
              <w:spacing w:before="0" w:after="0"/>
              <w:ind w:left="0" w:right="0" w:hanging="0"/>
              <w:rPr/>
            </w:pPr>
            <w:hyperlink w:anchor="PARTIII_740792">
              <w:r>
                <w:rPr>
                  <w:rStyle w:val="InternetLink"/>
                  <w:rFonts w:ascii="Times New Roman;Times;serif" w:hAnsi="Times New Roman;Times;serif"/>
                  <w:b w:val="false"/>
                  <w:i w:val="false"/>
                  <w:caps w:val="false"/>
                  <w:smallCaps w:val="false"/>
                  <w:sz w:val="20"/>
                </w:rPr>
                <w:t>PART III</w:t>
              </w:r>
            </w:hyperlink>
          </w:p>
        </w:tc>
        <w:tc>
          <w:tcPr>
            <w:tcW w:w="901"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7FinancialStatements_605652">
              <w:r>
                <w:rPr>
                  <w:rStyle w:val="InternetLink"/>
                  <w:rFonts w:ascii="Times New Roman;Times;serif" w:hAnsi="Times New Roman;Times;serif"/>
                  <w:b w:val="false"/>
                  <w:i w:val="false"/>
                  <w:caps w:val="false"/>
                  <w:smallCaps w:val="false"/>
                  <w:sz w:val="20"/>
                </w:rPr>
                <w:t>Item 17.</w:t>
              </w:r>
            </w:hyperlink>
          </w:p>
        </w:tc>
        <w:tc>
          <w:tcPr>
            <w:tcW w:w="6361" w:type="dxa"/>
            <w:tcBorders/>
            <w:shd w:fill="auto" w:val="clear"/>
            <w:vAlign w:val="center"/>
          </w:tcPr>
          <w:p>
            <w:pPr>
              <w:pStyle w:val="TableContents"/>
              <w:spacing w:before="0" w:after="0"/>
              <w:ind w:left="0" w:right="0" w:hanging="0"/>
              <w:rPr/>
            </w:pPr>
            <w:hyperlink w:anchor="Item17FinancialStatements_605652">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8FinancialStatements_417433">
              <w:r>
                <w:rPr>
                  <w:rStyle w:val="InternetLink"/>
                  <w:rFonts w:ascii="Times New Roman;Times;serif" w:hAnsi="Times New Roman;Times;serif"/>
                  <w:b w:val="false"/>
                  <w:i w:val="false"/>
                  <w:caps w:val="false"/>
                  <w:smallCaps w:val="false"/>
                  <w:sz w:val="20"/>
                </w:rPr>
                <w:t>Item 18.</w:t>
              </w:r>
            </w:hyperlink>
          </w:p>
        </w:tc>
        <w:tc>
          <w:tcPr>
            <w:tcW w:w="6361" w:type="dxa"/>
            <w:tcBorders/>
            <w:shd w:fill="auto" w:val="clear"/>
            <w:vAlign w:val="center"/>
          </w:tcPr>
          <w:p>
            <w:pPr>
              <w:pStyle w:val="TableContents"/>
              <w:spacing w:before="0" w:after="0"/>
              <w:ind w:left="0" w:right="0" w:hanging="0"/>
              <w:rPr/>
            </w:pPr>
            <w:hyperlink w:anchor="Item18FinancialStatements_417433">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84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hyperlink w:anchor="Item19Exhibits_917159">
              <w:r>
                <w:rPr>
                  <w:rStyle w:val="InternetLink"/>
                  <w:rFonts w:ascii="Times New Roman;Times;serif" w:hAnsi="Times New Roman;Times;serif"/>
                  <w:b w:val="false"/>
                  <w:i w:val="false"/>
                  <w:caps w:val="false"/>
                  <w:smallCaps w:val="false"/>
                  <w:sz w:val="20"/>
                </w:rPr>
                <w:t>Item 19.</w:t>
              </w:r>
            </w:hyperlink>
          </w:p>
        </w:tc>
        <w:tc>
          <w:tcPr>
            <w:tcW w:w="6361" w:type="dxa"/>
            <w:tcBorders/>
            <w:shd w:fill="auto" w:val="clear"/>
            <w:vAlign w:val="center"/>
          </w:tcPr>
          <w:p>
            <w:pPr>
              <w:pStyle w:val="TableContents"/>
              <w:spacing w:before="0" w:after="0"/>
              <w:ind w:left="0" w:right="0" w:hanging="0"/>
              <w:rPr/>
            </w:pPr>
            <w:hyperlink w:anchor="Item19Exhibits_917159">
              <w:r>
                <w:rPr>
                  <w:rStyle w:val="InternetLink"/>
                  <w:rFonts w:ascii="Times New Roman;Times;serif" w:hAnsi="Times New Roman;Times;serif"/>
                  <w:b w:val="false"/>
                  <w:i w:val="false"/>
                  <w:caps w:val="false"/>
                  <w:smallCaps w:val="false"/>
                  <w:sz w:val="20"/>
                </w:rPr>
                <w:t>Exhibits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8103" w:type="dxa"/>
            <w:gridSpan w:val="3"/>
            <w:tcBorders/>
            <w:shd w:fill="auto" w:val="clear"/>
            <w:vAlign w:val="center"/>
          </w:tcPr>
          <w:p>
            <w:pPr>
              <w:pStyle w:val="TableContents"/>
              <w:spacing w:before="0" w:after="0"/>
              <w:ind w:left="0" w:right="0" w:hanging="0"/>
              <w:rPr/>
            </w:pPr>
            <w:hyperlink w:anchor="SIGNATURES_667539">
              <w:r>
                <w:rPr>
                  <w:rStyle w:val="InternetLink"/>
                  <w:rFonts w:ascii="Times New Roman;Times;serif" w:hAnsi="Times New Roman;Times;serif"/>
                  <w:b w:val="false"/>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5" w:name="INTRODUCTION_655557"/>
      <w:bookmarkStart w:id="26" w:name="_83be4f3f_dc0e_4804_a230_1c48e9b833e6"/>
      <w:bookmarkEnd w:id="25"/>
      <w:bookmarkEnd w:id="26"/>
      <w:r>
        <w:rPr>
          <w:rFonts w:ascii="Times New Roman;Times;serif" w:hAnsi="Times New Roman;Times;serif"/>
          <w:b/>
          <w:sz w:val="20"/>
        </w:rPr>
        <w:t>INTRODUCTION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Except where the context otherwise requires and for purposes of this annual report only:</w:t>
      </w:r>
    </w:p>
    <w:tbl>
      <w:tblPr>
        <w:tblW w:w="8646" w:type="dxa"/>
        <w:jc w:val="left"/>
        <w:tblInd w:w="0" w:type="dxa"/>
        <w:tblCellMar>
          <w:top w:w="28" w:type="dxa"/>
          <w:left w:w="28" w:type="dxa"/>
          <w:bottom w:w="28" w:type="dxa"/>
          <w:right w:w="28" w:type="dxa"/>
        </w:tblCellMar>
      </w:tblPr>
      <w:tblGrid>
        <w:gridCol w:w="124"/>
        <w:gridCol w:w="256"/>
        <w:gridCol w:w="8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6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four of which represent one Class A ordinary share.</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w:t>
            </w:r>
          </w:p>
        </w:tc>
      </w:tr>
    </w:tbl>
    <w:tbl>
      <w:tblPr>
        <w:tblW w:w="8436" w:type="dxa"/>
        <w:jc w:val="left"/>
        <w:tblInd w:w="0" w:type="dxa"/>
        <w:tblCellMar>
          <w:top w:w="28" w:type="dxa"/>
          <w:left w:w="28" w:type="dxa"/>
          <w:bottom w:w="28" w:type="dxa"/>
          <w:right w:w="28" w:type="dxa"/>
        </w:tblCellMar>
      </w:tblPr>
      <w:tblGrid>
        <w:gridCol w:w="124"/>
        <w:gridCol w:w="256"/>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5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our Class A ordinary shares of par value US$0.00002 per share.</w:t>
            </w:r>
          </w:p>
        </w:tc>
      </w:tr>
    </w:tbl>
    <w:tbl>
      <w:tblPr>
        <w:tblW w:w="8436" w:type="dxa"/>
        <w:jc w:val="left"/>
        <w:tblInd w:w="0" w:type="dxa"/>
        <w:tblCellMar>
          <w:top w:w="28" w:type="dxa"/>
          <w:left w:w="28" w:type="dxa"/>
          <w:bottom w:w="28" w:type="dxa"/>
          <w:right w:w="28" w:type="dxa"/>
        </w:tblCellMar>
      </w:tblPr>
      <w:tblGrid>
        <w:gridCol w:w="124"/>
        <w:gridCol w:w="256"/>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5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our Class B ordinary shares of par value US$0.00002 per share.</w:t>
            </w:r>
          </w:p>
        </w:tc>
      </w:tr>
    </w:tbl>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2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Driver earnings” refers to the net portion of the transaction value that a driver retains.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Driver incentives” refers to payments that we make to drivers, which are separate from and in addition to the driver earnings.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GTV,” which stands for gross transaction value, refers to the total dollar value, including any applicable taxes, tolls and fees, of completed Transactions without any adjustment for consumer incentives or for earnings and incentives paid to drivers for mobility services, merchant or delivery partners for food delivery services, or service partners for other initiatives.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Platform Sales” refers to GTV less all of the earnings and incentives paid to drivers and partners, tolls, fees, taxes and others.</w:t>
            </w:r>
          </w:p>
        </w:tc>
      </w:tr>
    </w:tbl>
    <w:tbl>
      <w:tblPr>
        <w:tblW w:w="5541" w:type="dxa"/>
        <w:jc w:val="left"/>
        <w:tblInd w:w="0" w:type="dxa"/>
        <w:tblCellMar>
          <w:top w:w="28" w:type="dxa"/>
          <w:left w:w="28" w:type="dxa"/>
          <w:bottom w:w="28" w:type="dxa"/>
          <w:right w:w="28" w:type="dxa"/>
        </w:tblCellMar>
      </w:tblPr>
      <w:tblGrid>
        <w:gridCol w:w="124"/>
        <w:gridCol w:w="256"/>
        <w:gridCol w:w="5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6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refers to the legal currency of China.</w:t>
            </w:r>
          </w:p>
        </w:tc>
      </w:tr>
    </w:tbl>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refers to our Class A and Class B ordinary shares, par value US$0.00002 per share.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Transactions” refers to the number of completed rides for our China Mobility segment, completed rides or food deliveries for our International segment, and completed bike and e-bike sharing, energy and vehicle services, intra-city freight and financial services transactions for our Other Initiatives segment. Transactions are counted by the number of orders completed, so a carpooling ride with two paying consumers represents two transactions, even if both consumers start and end their ride at the same place, whereas two passengers on the same ride transaction order count as one transaction.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VIEs” refers to variable interest entities, and “the VIEs” or “the variable interest entities” refers to the variable interest entities whose financial results have been consolidated into our consolidated financial statements based solely on contractual arrangements in accordance with U.S. GAAP, including the principal variable interest entity, namely Beijing Xiaoju Science and Technology Co., Ltd. All of the VIEs are domestic PRC companies in which we do not have any equity ownership but whose financial results have been consolidated into our consolidated financial statements based solely on contractual arrangements in accordance with U.S. GAAP.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and “our” refers to DiDi Global Inc., our Cayman Islands holding company and its subsidiaries, and, in the context of describing our operations and consolidated financial information, the VIEs and their subsidiaries.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reporting currency is the Renminbi. This annual report also contains translations of certain foreign currency amounts into U.S. dollars for the convenience of the reader. Unless otherwise stated, all translations of Renminbi into U.S. dollars were made at RMB6.8972 to US$1.00, the exchange rate set forth in the H.10 statistical release of the Federal Reserve Board on December 30, 2022. We make no representation that the Renminbi or U.S. dollars amounts referred to in this annual report could have been or could be converted into U.S. dollars or Renminbi, as the case may be, at any particular rate or at all. On April 21, 2023, the exchange rate set forth in the H.10 statistical release of the Federal Reserve Board was RMB6.8920 to US$1.00.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rounding, numbers presented throughout this annual report may not add up precisely to the totals provided and percentages may not precisely reflect the absolute figures.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Below is a summary of material risks we face, organized under headings. All the operational risks associated with being based in and having operations in mainland China as discussed in risk factors under “Item 3. Key Information—D. Risk Factors—Risks Relating to Our Business and Industry” also apply to operations in the Hong Kong Special Administrative Region. With respect to the legal risks associated with being based in and having operations in mainland China as discussed in risk factors under “Item 3. Key Information—D. Risk Factors—Risks Relating to Our Corporate Structure” and “Item 3. Key Information—D. Risk Factors—Risks Relating to Doing Business in China,” the laws, regulations and discretion of mainland China governmental authorities discussed in this annual report are expected to apply to mainland China entities and businesses, rather than entities or businesses in the Hong Kong Special Administrative Region, which operate under a different set of laws from mainland China.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Relating to Our Business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consumers, our platform will become less appealing to drivers and businesses, and our business and financial results may be materially and adversely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drivers, our platform will become less appealing to consumers, and our business and financial results may be materially and adversely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drivers or vehicles on our platform fail to obtain and maintain the licenses, permits or approvals required by the jurisdictions where we operate, our business, financial condition and results of operations may be materially and adversely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ensure the safety of consumers and drivers, our business, results of operations and financial condition could be materially and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enhancing our brand and reputation is critical to our business prospects. We have been subject to negative publicity at various times, and failure to maintain our brand and reputation will cause our business to suffer.</w:t>
            </w:r>
          </w:p>
        </w:tc>
      </w:tr>
    </w:tbl>
    <w:tbl>
      <w:tblPr>
        <w:tblW w:w="8781" w:type="dxa"/>
        <w:jc w:val="left"/>
        <w:tblInd w:w="0" w:type="dxa"/>
        <w:tblCellMar>
          <w:top w:w="28" w:type="dxa"/>
          <w:left w:w="28" w:type="dxa"/>
          <w:bottom w:w="28" w:type="dxa"/>
          <w:right w:w="28" w:type="dxa"/>
        </w:tblCellMar>
      </w:tblPr>
      <w:tblGrid>
        <w:gridCol w:w="124"/>
        <w:gridCol w:w="256"/>
        <w:gridCol w:w="8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inception, and we may not achieve or maintain profitability.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our evolving business make it difficult to evaluate our future prospects and the risks and challenges we may encounter.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or settlements resulting from legal proceedings or investigations in which we may be involved could expose us to monetary damages or limit our ability to operate our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Relating to Our Corporate Structure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our consolidated affiliated entities and we conduct our operations in China primarily through (i) our subsidiaries in China, (ii) our consolidated affiliated entities with which we have contractual arrangements, and (iii) the subsidiaries of our consolidated affiliated entities. Investors thus are not purchasing direct equity interests in our operating entities in China but instead are purchasing equity interests in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our consolidated affiliated entities and their subsidiaries, and investors of our company face uncertainty about potential future actions by the PRC government that could affect the enforceability of our contractual arrangements with our consolidated affiliated entities and, consequently, significantly affect the financial performance of our consolidated affiliated entities and our company as a whole. For a detailed description of the risks associated with our corporate structure, please refer to the risks disclosed under “Item 3. Key Information—D. Risk Factors—Risks Relating to Our Corporate Structure.”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on page 40.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DiDi Partnership and its related arrangements will impact your ability to appoint executive directors and nominate certain executive officers of the company. See “Item 3. Key Information—D. Risk Factors—Risks Relating to Our Corporate Structure—The DiDi Partnership and its related arrangements will impact your ability to appoint executive directors and nominate certain executive officers of the company” on page 41.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interests of the DiDi Partnership may conflict with your interests on certain matters and you may be disadvantaged. See “Item 3. Key Information—D. Risk Factors—Risks Relating to Our Corporate Structure—The interests of the DiDi Partnership may conflict with your interests on certain matters and you may be disadvantaged” on page 41.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with the VIEs and their shareholders may not be as effective as direct ownership in providing operational control. See “Item 3. Key Information—D. Risk Factors—Risks Relating to Our Corporate Structure—The contractual arrangements with the VIEs and their shareholders may not be as effective as direct ownership in providing operational control” on page 42.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VIEs or their shareholders to perform their obligations under our contractual arrangements with them would have a material and adverse effect on our business. See “Item 3. Key Information—D. Risk Factors—Risks Relating to Our Corporate Structure—Any failure by the VIEs or their shareholders to perform their obligations under our contractual arrangements with them would have a material and adverse effect on our business” on page 42.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may have actual or potential conflicts of interest with us, which may adversely affect our business and financial condition. See “Item 3. Key Information—D. Risk Factors—Risks Relating to Our Corporate Structure—The shareholders of the VIEs may have actual or potential conflicts of interest with us, which may adversely affect our business and financial condition” on page 43.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Relating to Doing Business in China</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developments in China’s economy, social conditions or government policies could have a material adverse effect on our business, financial conditions and results of operations. See “Item 3. Key Information—D. Risk Factors—Risks Relating to Doing Business in China—Changes and developments in China’s economy, social conditions or government policies could have a material adverse effect on our business, financial conditions and results of operations” on page 45.</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See “Item 3. Key Information—D. Risk Factors—Risks Relating to Doing Business in China—Claims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on page 45.</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change in or development of PRC legal system could adversely affect us. The PRC governmental authorities may continue to promulgate new rules and regulations or amend existing rules and regulations that could affect our business operations. See “Item 3. Key Information—D. Risk Factors—Risks Relating to Doing Business in China—Uncertainties associated with change in or development of PRC legal system could adversely affect us” on page 47.</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48</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 See “Item 3. Key Information—D. Risk Factors—Risks Relating to Doing Business in China—Our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 on page 48.</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has jurisdiction over our business operations and may exercise discretion pursuant to PRC laws and regulations. The PRC government may intervene or influence our operations by taking regulatory actions if we fail to comply with applicable PRC laws, regulations or regulatory requirements, and our operations may be materially affected by such regulatory actions, and if such regulatory actions are taken to exert oversight over offerings conducted overseas and/or foreign investment in China-based issuers, our operations and the value of our securities may be materially affected. In the event that we fail to comply with any PRC legal and regulatory requirement in relation to overseas securities issuance or foreign investment, our ability to offer or continue to offer securities to investors could be significantly limited or completely hindered and the value of such securities could significantly decline or be worthless. See “Item 3. Key Information—D. Risk Factors—Risks Relating to Doing Business in China—We may be required to obtain approval or subject to filing or other requirements from the CSRC or other PRC governmental authorities for any future listing or other financing activities” on page 54 and “—The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 on page 47.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 49.</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experience difficulties in effecting service of legal process, enforcing foreign judgments or bringing actions in China against us or our management named in this annual report based on foreign laws. All of our directors and senior executive officers reside within China for at least a significant portion of the time, and it will be more difficult to enforce liabilities and enforce judgments on those individuals. See “Item 3. Key Information—D. Risk Factors—Risks Relating to Doing Business in China—You may experience difficulties in effecting service of legal process, enforcing foreign judgments or bringing actions in China against us or our management named in this annual report based on foreign laws” on page 59.</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Relating to Our ADSs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of our ADSs from NYSE may continue to have a material adverse effect on the trading and price of our ADSs, and we cannot assure you that our ADSs will be relisted on any other internationally recognized stock exchange, or that if they are ever relisted, they will remain listed.</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is likely to be volatile, which could result in substantial losses to investors.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Please see “Item 3. Key Information—D. Risk Factors” and other information included elsewhere in this annual report for a discussion of these and other risks and uncertainties that we face.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7" w:name="FORWARDLOOKINGINFORMATION_228041"/>
      <w:bookmarkStart w:id="28" w:name="_6cab8dc5_c4e5_4cb9_b3cd_5598e2a08611"/>
      <w:bookmarkEnd w:id="27"/>
      <w:bookmarkEnd w:id="28"/>
      <w:r>
        <w:rPr>
          <w:rFonts w:ascii="Times New Roman;Times;serif" w:hAnsi="Times New Roman;Times;serif"/>
          <w:b/>
          <w:sz w:val="20"/>
        </w:rPr>
        <w:t>FORWARD-LOOKING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tbl>
      <w:tblPr>
        <w:tblW w:w="2496" w:type="dxa"/>
        <w:jc w:val="left"/>
        <w:tblInd w:w="0" w:type="dxa"/>
        <w:tblCellMar>
          <w:top w:w="28" w:type="dxa"/>
          <w:left w:w="28" w:type="dxa"/>
          <w:bottom w:w="28" w:type="dxa"/>
          <w:right w:w="28" w:type="dxa"/>
        </w:tblCellMar>
      </w:tblPr>
      <w:tblGrid>
        <w:gridCol w:w="124"/>
        <w:gridCol w:w="256"/>
        <w:gridCol w:w="2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expenses or expenditures;</w:t>
            </w:r>
          </w:p>
        </w:tc>
      </w:tr>
    </w:tbl>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shared mobility market in China and globally;</w:t>
            </w:r>
          </w:p>
        </w:tc>
      </w:tr>
    </w:tbl>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bl>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 with drivers and consumers on our platform;</w:t>
            </w:r>
          </w:p>
        </w:tc>
      </w:tr>
    </w:tbl>
    <w:tbl>
      <w:tblPr>
        <w:tblW w:w="2826" w:type="dxa"/>
        <w:jc w:val="left"/>
        <w:tblInd w:w="0" w:type="dxa"/>
        <w:tblCellMar>
          <w:top w:w="28" w:type="dxa"/>
          <w:left w:w="28" w:type="dxa"/>
          <w:bottom w:w="28" w:type="dxa"/>
          <w:right w:w="28" w:type="dxa"/>
        </w:tblCellMar>
      </w:tblPr>
      <w:tblGrid>
        <w:gridCol w:w="124"/>
        <w:gridCol w:w="256"/>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tbl>
      <w:tblPr>
        <w:tblW w:w="5961" w:type="dxa"/>
        <w:jc w:val="left"/>
        <w:tblInd w:w="0" w:type="dxa"/>
        <w:tblCellMar>
          <w:top w:w="28" w:type="dxa"/>
          <w:left w:w="28" w:type="dxa"/>
          <w:bottom w:w="28" w:type="dxa"/>
          <w:right w:w="28" w:type="dxa"/>
        </w:tblCellMar>
      </w:tblPr>
      <w:tblGrid>
        <w:gridCol w:w="124"/>
        <w:gridCol w:w="256"/>
        <w:gridCol w:w="5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China and elsewhere;</w:t>
            </w:r>
          </w:p>
        </w:tc>
      </w:tr>
    </w:tbl>
    <w:tbl>
      <w:tblPr>
        <w:tblW w:w="5826" w:type="dxa"/>
        <w:jc w:val="left"/>
        <w:tblInd w:w="0" w:type="dxa"/>
        <w:tblCellMar>
          <w:top w:w="28" w:type="dxa"/>
          <w:left w:w="28" w:type="dxa"/>
          <w:bottom w:w="28" w:type="dxa"/>
          <w:right w:w="28" w:type="dxa"/>
        </w:tblCellMar>
      </w:tblPr>
      <w:tblGrid>
        <w:gridCol w:w="124"/>
        <w:gridCol w:w="256"/>
        <w:gridCol w:w="5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industry; and</w:t>
            </w:r>
          </w:p>
        </w:tc>
      </w:tr>
    </w:tbl>
    <w:tbl>
      <w:tblPr>
        <w:tblW w:w="6531" w:type="dxa"/>
        <w:jc w:val="left"/>
        <w:tblInd w:w="0" w:type="dxa"/>
        <w:tblCellMar>
          <w:top w:w="28" w:type="dxa"/>
          <w:left w:w="28" w:type="dxa"/>
          <w:bottom w:w="28" w:type="dxa"/>
          <w:right w:w="28" w:type="dxa"/>
        </w:tblCellMar>
      </w:tblPr>
      <w:tblGrid>
        <w:gridCol w:w="124"/>
        <w:gridCol w:w="256"/>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current and future legal or administrative proceedings.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9" w:name="PARTI_449133"/>
      <w:bookmarkStart w:id="30" w:name="_f967c8b8_f478_47c5_98db_38a9d001c0d8"/>
      <w:bookmarkEnd w:id="29"/>
      <w:bookmarkEnd w:id="30"/>
      <w:r>
        <w:rPr>
          <w:rFonts w:ascii="Times New Roman;Times;serif" w:hAnsi="Times New Roman;Times;serif"/>
          <w:b/>
          <w:sz w:val="20"/>
        </w:rPr>
        <w:t>PART I</w:t>
      </w:r>
    </w:p>
    <w:p>
      <w:pPr>
        <w:pStyle w:val="Normal"/>
        <w:spacing w:before="0" w:after="0"/>
        <w:rPr>
          <w:sz w:val="4"/>
          <w:szCs w:val="4"/>
        </w:rPr>
      </w:pPr>
      <w:r>
        <w:rPr>
          <w:sz w:val="4"/>
          <w:szCs w:val="4"/>
        </w:rPr>
      </w:r>
      <w:bookmarkStart w:id="31" w:name="Item1IdentityofDirectorsSeniorManagement"/>
      <w:bookmarkStart w:id="32" w:name="Item1IdentityofDirectorsSeniorManagement"/>
      <w:bookmarkEnd w:id="32"/>
    </w:p>
    <w:tbl>
      <w:tblPr>
        <w:tblW w:w="5507" w:type="dxa"/>
        <w:jc w:val="left"/>
        <w:tblInd w:w="0" w:type="dxa"/>
        <w:tblCellMar>
          <w:top w:w="0" w:type="dxa"/>
          <w:left w:w="0" w:type="dxa"/>
          <w:bottom w:w="0" w:type="dxa"/>
          <w:right w:w="0" w:type="dxa"/>
        </w:tblCellMar>
      </w:tblPr>
      <w:tblGrid>
        <w:gridCol w:w="706"/>
        <w:gridCol w:w="480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w:t>
            </w:r>
          </w:p>
        </w:tc>
        <w:tc>
          <w:tcPr>
            <w:tcW w:w="480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Identity of Directors, Senior Management and Advisers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33" w:name="Item2OfferStatisticsandExpectedTimetable"/>
      <w:bookmarkStart w:id="34" w:name="_d8fa2ec7_26fb_4ccc_9bf1_97dfd1d3b944"/>
      <w:bookmarkStart w:id="35" w:name="Item2OfferStatisticsandExpectedTimetable"/>
      <w:bookmarkStart w:id="36" w:name="_d8fa2ec7_26fb_4ccc_9bf1_97dfd1d3b944"/>
      <w:bookmarkEnd w:id="35"/>
      <w:bookmarkEnd w:id="36"/>
    </w:p>
    <w:tbl>
      <w:tblPr>
        <w:tblW w:w="4202" w:type="dxa"/>
        <w:jc w:val="left"/>
        <w:tblInd w:w="0" w:type="dxa"/>
        <w:tblCellMar>
          <w:top w:w="0" w:type="dxa"/>
          <w:left w:w="0" w:type="dxa"/>
          <w:bottom w:w="0" w:type="dxa"/>
          <w:right w:w="0" w:type="dxa"/>
        </w:tblCellMar>
      </w:tblPr>
      <w:tblGrid>
        <w:gridCol w:w="706"/>
        <w:gridCol w:w="3496"/>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349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Offer Statistics and Expected Timetable</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37" w:name="Item3KeyInformation_524739"/>
      <w:bookmarkStart w:id="38" w:name="_bd260c83_948e_4bec_abcd_b11aae481cdd"/>
      <w:bookmarkStart w:id="39" w:name="Item3KeyInformation_524739"/>
      <w:bookmarkStart w:id="40" w:name="_bd260c83_948e_4bec_abcd_b11aae481cdd"/>
      <w:bookmarkEnd w:id="39"/>
      <w:bookmarkEnd w:id="40"/>
    </w:p>
    <w:tbl>
      <w:tblPr>
        <w:tblW w:w="2282" w:type="dxa"/>
        <w:jc w:val="left"/>
        <w:tblInd w:w="0" w:type="dxa"/>
        <w:tblCellMar>
          <w:top w:w="0" w:type="dxa"/>
          <w:left w:w="0" w:type="dxa"/>
          <w:bottom w:w="0" w:type="dxa"/>
          <w:right w:w="0" w:type="dxa"/>
        </w:tblCellMar>
      </w:tblPr>
      <w:tblGrid>
        <w:gridCol w:w="706"/>
        <w:gridCol w:w="1576"/>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3.</w:t>
            </w:r>
          </w:p>
        </w:tc>
        <w:tc>
          <w:tcPr>
            <w:tcW w:w="15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Key Information</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Holding Company Structure and Contractual Arrangements with the VIEs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DiDi Global Inc. is not an operating company in China but a Cayman Islands holding company with no equity ownership in its VIEs. We conduct our operations in China through (i) our PRC subsidiaries, (ii) the VIEs, with which we have contractual arrangements, and (iii) the subsidiaries of the VIEs. This holding company structure involves unique risks to investors. See “Item 3. Key Information—D. Risk Factors—Risks Relating to our Corporate Structure” for more details. PRC laws and regulations impose restrictions on foreign ownership and investment in certain internet-based businesses. Accordingly, we operate these businesses in China through the VIEs and their subsidiaries, and rely on contractual arrangements between our PRC subsidiary, the VIEs and their respective shareholders to direct activities of the VIEs and their subsidiaries that most significantly impact their economic performance and receive economic benefits from them that could potentially be significant to them. Revenues contributed by the VIEs and their subsidiaries accounted for 96.5%, 95.8% and 92.9% of our total revenues for 2020, 2021 and 2022, respectively. As used in this annual report, “we,” “us,” “our company” and “our” refer to DiDi Global Inc., its subsidiaries, and, in the context of describing our operations and consolidated financial information, the VIEs in China and their subsidiaries, including but not limited to Beijing Xiaoju Science and Technology Co., Ltd., or Xiaoju Technology, a limited liability company incorporated under the laws of the PRC, which operates our mobility services in China. Xiaoju Technology and its affiliates hold VATS Licenses in various subcategories, including the VATS Licenses for internet content provider (ICP) services, internet data center services, online data and transaction processing services, domestic multi-party communications services and domestic call center services, as well as online ride hailing operation permits for certain cities. See “—Permissions Required from the PRC Authorities for Our Securities Offerings and Operations” for more detail on the licenses they hold. Investors in our ADSs are not purchasing equity interests in the VIEs in China but instead are purchasing equity interests in a holding company incorporated in the Cayman Islands. All of the VIEs are domestic PRC companies in which we do not have any equity ownership but whose financial results have been consolidated into our consolidated financial statements based solely on contractual arrangements in accordance with U.S. GAAP.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series of contractual agreements, including powers of attorney, exclusive option agreements, exclusive business cooperation agreements, equity pledge agreements and spousal consent letters, have been entered into by and between our PRC subsidiaries, the VIEs and their respective shareholders. As a result of the contractual arrangements, we (i) have the power to direct activities of the VIEs that most significantly impact their economic performance and (ii) have the right to receive economic benefits from the VIEs that could potentially be significant to them. Accordingly, certain of DiDi Global Inc.’s PRC subsidiaries, including Beijing DiDi Infinity Technology and Development Co., Ltd, or Beijing DiDi, are considered the primary beneficiaries of the VIEs and their subsidiaries for accounting purposes, and DiDi Global Inc. has consolidated the financial results of these companies in its consolidated financial statements under U.S. GAAP.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For more details of these contractual arrangements, see “Item 4. Information on the Company—C. Organizational Structure—Contractual Arrangements with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PRC laws, regulations and rules regarding the rights of our Cayman Islands holding company with respect to its contractual arrangements with the VIEs and their shareholders. It is uncertain whether any new PRC laws or regulations relating to the contractual arrangements of the VIEs will be adopted or, if adopted, what they would provide. If we or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corporate structure is subject to risks associated with our contractual arrangements with the VIEs.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need to relinquish our interests in those operations. This in turn would likely result in a material change in our operations and our securities may decline significantly in value or become worthless. Our holding company, our PRC subsidiaries, the VIEs and their subsidiaries,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“Item 3. Key Information—D. Risk Factors—Risks Relating to Our Corporate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various risks and uncertainties related to doing business in China. Our business operations are primarily conducted through the VIEs and their subsidiaries in China, and we are subject to complex and evolving PRC laws and regulations. For example, we face risks associated with regulatory approvals, filings or other requirements on offshore offerings, anti-monopoly regulatory actions, and oversight on cybersecurity and data privacy, which may impact our ability to conduct certain businesses or accept foreign investments. These risks could result in a material adverse change in our operations and the value of our securities, and in the event that we fail to comply with any PRC legal and regulatory requirement in relation to overseas securities issuance or foreign investment, our ability to continue to offer securities to investors could be significantly limited or completely hindered and the value of such securities could significantly decline or become worthless. For a detailed description of risks relating to doing business in China, please refer to risks disclosed under “Item 3. Key Information—D. Risk Factors—Risks Relating to Doing Business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diagram illustrates our corporate structure as of the date of this annual report, including our principal subsidiaries, the principal variable interest entity, and other entities:</w:t>
      </w:r>
    </w:p>
    <w:p>
      <w:pPr>
        <w:pStyle w:val="TextBody"/>
        <w:spacing w:before="0" w:after="240"/>
        <w:ind w:left="0" w:right="0" w:firstLine="720"/>
        <w:jc w:val="center"/>
        <w:rPr/>
      </w:pPr>
      <w:r>
        <w:rPr/>
        <w:drawing>
          <wp:inline distT="0" distB="0" distL="0" distR="0">
            <wp:extent cx="4368165" cy="453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68165" cy="4530725"/>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90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our chief technology officer, Mr. Rui Wu is our vice president of risk control and compliance, and Mr. Ting Chen is the general manager of an affiliate of our company.</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Permissions Required from the PRC Authorities for Our Securities Offerings and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operations in China are governed by PRC laws and regulations. As of the date of this annual report, after consulting our PRC legal counsel, Fangda Partners, we believe our PRC subsidiaries and the VIEs and their subsidiaries have obtained all requisite licenses and permits from the PRC government authorities that are material for our business operations in China. These include online ride hailing operation permits we have obtained for certain cities and various kinds of value-added telecommunications services licenses, also known as VATS Licenses, which include VATS Licenses for internet content provider (ICP) services, internet data center services, online data and transaction processing services, domestic multi-party communications services and domestic call center services. As of the date of this annual report, our PRC subsidiaries, the VIEs and their subsidiaries have not been denied such licenses and permits and have not received any requirement from Chinese authorities to obtain permissions and approvals from the China Securities Regulatory Commission, or the CSRC, for our daily business operations in China.</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Given the uncertainties of interpretation and implementation of laws and regulations and the enforcement practice of government authorities, we may be required to obtain additional licenses, permits, filings or approvals for the functions and services of our platform in the future. If we, our PRC subsidiaries or the VIEs or their subsidiaries do not receive or maintain any necessary permissions or approvals from PRC authorities to operate their business or offer securities, or inadvertently conclude that such permissions or approvals are not required, or if applicable laws, regulations, or interpretations change in the future and we, our PRC subsidiaries or the VIEs or their subsidiaries are therefore required to obtain such permissions or approvals in the future, we cannot assure you that the necessary permissions or approvals will be obtained or renewed in a timely manner. Any such circumstance could subject us to penalties, including fines, suspension of business and revocation of the required licenses. For more detailed information, see “Item 3. Key Information—D. Risk Factors—Risks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“Item 3. Key Information—D. Risk Factors—Risks Relating to Our Business and Industry—Our business is subject to extensive government regulation and oversight relating to the provision of payment and financial services” and “Item 3. Key Information—D. Risk Factors—Risks Relating to Doing Business in China—Uncertainties associated with change in or development of PRC legal system could adversely affect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the PRC authorities have recently promulgated new or proposed laws and regulations to further regulate securities offerings that are conducted overseas and/or foreign investment in China-based issuers. For more detailed information, see “Item 4. Information on the Company—B. Business Overview—Regulation—PRC Regulations — Regulations on M&amp;A Rules and Overseas Listings” and “Item 4. Information on the Company—B. Business Overview—Regulation—PRC Regulations— Regulations Relating to Cybersecurity and Information Security”. According to these new laws and regulations and the draft laws and regulations if enacted in their current forms, in connection with our future offshore offering activities, we may be required to fulfill filing and reporting procedures with the CSRC, and may be required to go through cybersecurity review by the PRC authorities. However, there are uncertainties with respect to whether we will be able to fully comply with requirements to obtain any permissions and approvals from, or complete any reporting or filing procedures with, PRC authorities that may be in effect in the future. For more detailed information,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“Item 3. Key Information—D. Risk Factors—Risks Relating to Doing Business in China—We may be required to obtain approval or subject to filing or other requirements from the CSRC or other PRC governmental authorities for any future listing or other financing activities.”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Update on Cybersecurity Review and Rectification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 2021, the Cybersecurity Review Office posted an announcement that we were subject to a cybersecurity review and that it required us to suspend new user registration in China during the review. On July 4 and July 9, 2021, the CAC posted announcements to state that 26 apps that we operate in China violated relevant PRC laws and regulations in collecting personal information. Pursuant to the PRC Cybersecurity Law, relevant app stores were notified to take down these apps in China. On January 16, 2023, as approved by the Cybersecurity Review Office, we have resumed DiDi Chuxing’s registration of new users.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past year, we fully cooperated with the PRC government authorities on the cybersecurity review and rectification measures. We conducted a series of rectification measures under the supervision of the PRC regulatory authorities, including: (i) further improving internal management mechanisms and procedures for cybersecurity, data security and personal data and privacy protection, (ii) clearly disclosing the rules on personal information collection to users, including the purposes, means and scopes of collection and use of personal information, and (iii) conducting self-examination and self-rectification to review the authorization, collection and scope of user data, to conduct necessary cleanups in accordance with laws and regulations in a compliant manner, and to ensure that users’ personal information and data are processed in a legal and compliant manner. In addition, we have formulated an internal management mechanism for data security and storage, algorithm transparency and users’ right of free choice, so as to enhance employees’ attention to and awareness of these matters. Meanwhile, we have organized and conducted education and training programs for employees regarding such matters as information network security, data security and storage, and user personal information protection, and strengthened employees’ awareness of legal compliance with respect to information network security and application.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there are uncertainties with respect to whether we will become subject to any new cybersecurity review in the future and if we are unable to complete such new review and the relevant rectification, the growth and usage of our platform in China may decline, which could materially and adversely affect our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Cash and Asset Flows through Our Organization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DiDi Global Inc. is a holding company with no operations of its own. We conduct our operations in China primarily through our subsidiaries and the VIEs and their subsidiaries in China. As a result, although other means are available for us to obtain financing at the holding company level, DiDi Global Inc.’s ability to pay dividends to its shareholders and to service any debt it may incur may depend upon dividends paid by our PRC subsidiaries and on license and service fees paid by the VIEs in China. If any of our subsidiaries incurs debt on its own behalf in the future, the instruments governing such debt may restrict its ability to pay dividends to DiDi Global Inc. In addition, our PRC subsidiaries are permitted to pay dividends to DiDi Global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PRC laws and regulations, our PRC subsidiaries and the VIEs are subject to certain restrictions with respect to paying dividends or otherwise transferring any of their net assets to us. Cash transfers from our PRC subsidiaries to entities outside of China are subject to PRC government control of currency conversion. Shortages in the availability of foreign currency may temporarily delay the ability of our PRC subsidiaries and the VIEs to remit sufficient foreign currency to pay dividends or make other payments to us, or otherwise satisfy their foreign currency denominated obligations. Remittance of dividends by a wholly foreign-owned enterprise out of China is also subject to examination by the banks designated by the State Administration of Foreign Exchange, or SAFE. There is no assurance the PRC government will not impose restrictions or limitations on us, our subsidiaries and the VIEs with respect to the transfer of cash or assets out of the PRC. To the extent cash or assets in our business are held in the PRC or by a PRC entity, the funds or assets may not be available to fund operations or for other use outside of the PRC due to regulatory restrictions. As of the date of this annual report, there is no equivalent or similar restriction or limitation in Hong Kong on cash transfers to or from our Hong Kong entities. However, if limitations were to become applicable to cash transfers to or from Hong Kong entities in the future, the funds in our Hong Kong entities may not be available to fund operations or for other use outside of Hong Kong. For risks relating to the fund flows of our operations in China, see “Introduction—Summary of Risk Factors” and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Under PRC law, DiDi Global Inc. may provide funding to its PRC subsidiaries only through capital contributions or loans, and to the VIEs only through loans, subject to satisfaction of government registration and approval requirements. We have comprehensive cash management policies in place with respect to transfers of funds through our organization. Our management regularly monitors the liquidity position and funding requirements of our subsidiaries and the VIEs. When funding is required by our subsidiaries or the VIEs, a thorough assessment is performed on the purpose, amount and form of the funding, either through capital contributions or loans. All necessary internal approvals must be obtained prior to any transfer of funds through our organization. All such transfers are reviewed and approved by the relevant authorities where required, including SAFE. Our cash management policies also govern the management of any funds that are not in the process of being transferred. Such funds are retained by DiDi Global Inc. or its subsidiaries outside of China mainly in the form of cash and cash equivalents and highly-liquid short-term investments. For the years ended December 31, 2020, 2021 and 2022, DiDi Global Inc. had provided loans of RMB14.6 billion, RMB65.8 billion and RMB6.6 billion (US$1.0 billion), respectively, to its subsidiaries, and collected loans of RMB24.7 billion, RMB41.2 billion and RMB14.7 billion (US$2.1 billion), respectively, from its subsidiaries. For the years ended December 31, 2020, 2021 and 2022, DiDi Global Inc. provided capital contributions of RMB9.8 billion, RMB4.5 billion and RMB91 million (US$13 million), respectively, to its subsidiaries. For more information relating to fund flows through our organization, see cash flow information disclosed in “Item 3. Key Information—Financial Information Related to the VIEs.” and “Item 8. Financial Information—A. Consolidated Statements and Other Financial Information.”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DiDi Global Inc.’s source of funds to pay dividends partly comes from dividends paid by its PRC subsidiaries, which in part depends on payments received from the VIEs under the contractual arrangements with the VIEs. We have never declared or paid any dividend on our ordinary shares and we do not currently intend to pay dividends to shareholders or holders of ADSs. We currently intend to retain most, if not all, of our available funds and any future earnings to fund the development and growth of our business. The undistributed earnings that are subject to dividend tax are expected to be indefinitely reinvested for the foreseeable future. See “Item 8. Financial Information—A. Consolidated Statements and Other Financial Information—Dividend Policy.” For PRC and United States federal income tax considerations of an investment in our ADSs, see “Item 10. Additional Information—E. Taxation.”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current laws of the Cayman Islands, DiDi Global Inc. is not subject to tax on income or capital gains. Upon payments of dividends to our shareholders, no Cayman Islands withholding tax will be imposed. For purposes of illustration, the following discussion reflects the hypothetical taxes that might be required to be paid within mainland China, assuming that: (i) we have taxable earnings, and (ii) we determine to pay a dividend in the future:</w:t>
      </w:r>
    </w:p>
    <w:tbl>
      <w:tblPr>
        <w:tblW w:w="5609" w:type="dxa"/>
        <w:jc w:val="left"/>
        <w:tblInd w:w="0" w:type="dxa"/>
        <w:tblCellMar>
          <w:top w:w="0" w:type="dxa"/>
          <w:left w:w="0" w:type="dxa"/>
          <w:bottom w:w="0" w:type="dxa"/>
          <w:right w:w="0" w:type="dxa"/>
        </w:tblCellMar>
      </w:tblPr>
      <w:tblGrid>
        <w:gridCol w:w="3541"/>
        <w:gridCol w:w="326"/>
        <w:gridCol w:w="1426"/>
        <w:gridCol w:w="316"/>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48535" cy="175260"/>
                      <wp:effectExtent l="0" t="0" r="0" b="0"/>
                      <wp:wrapNone/>
                      <wp:docPr id="2" name="Frame1"/>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05510" cy="175260"/>
                      <wp:effectExtent l="0" t="0" r="0" b="0"/>
                      <wp:wrapNone/>
                      <wp:docPr id="4" name="Frame3"/>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0660" cy="175260"/>
                      <wp:effectExtent l="0" t="0" r="0" b="0"/>
                      <wp:wrapNone/>
                      <wp:docPr id="5" name="Frame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2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Tax calculation </w:t>
            </w:r>
            <w:r>
              <w:rPr>
                <w:rFonts w:ascii="Times New Roman;Times;serif" w:hAnsi="Times New Roman;Times;serif"/>
                <w:b/>
                <w:sz w:val="12"/>
              </w:rPr>
              <w:t>(1)</w:t>
            </w:r>
          </w:p>
        </w:tc>
        <w:tc>
          <w:tcPr>
            <w:tcW w:w="316" w:type="dxa"/>
            <w:tcBorders/>
            <w:shd w:fill="auto" w:val="clear"/>
            <w:vAlign w:val="center"/>
          </w:tcPr>
          <w:p>
            <w:pPr>
              <w:pStyle w:val="TableContents"/>
              <w:spacing w:before="0" w:after="0"/>
              <w:ind w:left="0" w:right="0" w:hanging="0"/>
              <w:jc w:val="center"/>
              <w:rPr/>
            </w:pPr>
            <w:r>
              <w:rPr/>
              <w:t> </w:t>
            </w:r>
          </w:p>
        </w:tc>
      </w:tr>
      <w:tr>
        <w:trPr/>
        <w:tc>
          <w:tcPr>
            <w:tcW w:w="354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earnings available for distribution</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(4)</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distribution to Parent/Shareholders</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0" w:type="dxa"/>
          <w:left w:w="0" w:type="dxa"/>
          <w:bottom w:w="0" w:type="dxa"/>
          <w:right w:w="0" w:type="dxa"/>
        </w:tblCellMar>
      </w:tblPr>
      <w:tblGrid>
        <w:gridCol w:w="328"/>
        <w:gridCol w:w="9877"/>
      </w:tblGrid>
      <w:tr>
        <w:trPr/>
        <w:tc>
          <w:tcPr>
            <w:tcW w:w="3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is assumed to equal taxable income in China.</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our PRC subsidiaries may charge the VIEs for services provided to VIEs. These service fees shall be recognized as expenses of the VIEs, with a corresponding amount as service income by our PRC subsidiaries and eliminate in consolidation. For income tax purposes, our PRC subsidiaries and the VIEs file income tax returns on a separate company basis. The service fees paid are recognized as a tax deduction by the VIEs and as income by our PRC subsidiaries and are tax neutral.</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subsidiaries is entitled to a favorable statutory tax rate of 15%, which will expire in 2025, because of its qualification as a High and New Technology Enterprise. However, such rate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Information Related to the VIEs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tables present the condensed consolidating schedule of financial information of DiDi Global Inc., its wholly owned subsidiaries that are considered the primary beneficiaries of the VIEs, its other subsidiaries, and the VIEs and their subsidiaries as of the dates presented.</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Selected Condensed Consolidated Statements of Operations and Comprehensive Income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51"/>
        <w:gridCol w:w="326"/>
        <w:gridCol w:w="682"/>
        <w:gridCol w:w="326"/>
        <w:gridCol w:w="961"/>
        <w:gridCol w:w="326"/>
        <w:gridCol w:w="1021"/>
        <w:gridCol w:w="326"/>
        <w:gridCol w:w="961"/>
        <w:gridCol w:w="326"/>
        <w:gridCol w:w="976"/>
        <w:gridCol w:w="326"/>
        <w:gridCol w:w="1097"/>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9885" cy="175260"/>
                      <wp:effectExtent l="0" t="0" r="0" b="0"/>
                      <wp:wrapNone/>
                      <wp:docPr id="6" name="Frame5"/>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33070" cy="175260"/>
                      <wp:effectExtent l="0" t="0" r="0" b="0"/>
                      <wp:wrapNone/>
                      <wp:docPr id="8" name="Frame7"/>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0235" cy="175260"/>
                      <wp:effectExtent l="0" t="0" r="0" b="0"/>
                      <wp:wrapNone/>
                      <wp:docPr id="10" name="Frame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335" cy="175260"/>
                      <wp:effectExtent l="0" t="0" r="0" b="0"/>
                      <wp:wrapNone/>
                      <wp:docPr id="12" name="Frame11"/>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0235" cy="175260"/>
                      <wp:effectExtent l="0" t="0" r="0" b="0"/>
                      <wp:wrapNone/>
                      <wp:docPr id="14" name="Frame13"/>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19760" cy="175260"/>
                      <wp:effectExtent l="0" t="0" r="0" b="0"/>
                      <wp:wrapNone/>
                      <wp:docPr id="16" name="Frame1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6595" cy="175260"/>
                      <wp:effectExtent l="0" t="0" r="0" b="0"/>
                      <wp:wrapNone/>
                      <wp:docPr id="18" name="Frame17"/>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2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For the Year Ended December 31, 2022</w:t>
            </w:r>
          </w:p>
        </w:tc>
      </w:tr>
      <w:tr>
        <w:trPr/>
        <w:tc>
          <w:tcPr>
            <w:tcW w:w="25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8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5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8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28"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51"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(1)</w:t>
            </w: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1,022</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16,696</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1,495</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(19,213)</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9,149</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900</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130,743</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140,792</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spacing w:before="0" w:after="0"/>
              <w:ind w:left="0" w:right="0" w:hanging="0"/>
              <w:rPr/>
            </w:pPr>
            <w:r>
              <w:rPr/>
              <w:t>​</w:t>
            </w:r>
          </w:p>
        </w:tc>
        <w:tc>
          <w:tcPr>
            <w:tcW w:w="68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10,171</w:t>
            </w:r>
          </w:p>
        </w:tc>
        <w:tc>
          <w:tcPr>
            <w:tcW w:w="326" w:type="dxa"/>
            <w:tcBorders/>
            <w:shd w:fill="CCEEFF" w:val="clear"/>
            <w:vAlign w:val="center"/>
          </w:tcPr>
          <w:p>
            <w:pPr>
              <w:pStyle w:val="TableContents"/>
              <w:spacing w:before="0" w:after="0"/>
              <w:ind w:left="0" w:right="0" w:hanging="0"/>
              <w:rPr/>
            </w:pPr>
            <w:r>
              <w:rPr/>
              <w:t> </w:t>
            </w:r>
          </w:p>
        </w:tc>
        <w:tc>
          <w:tcPr>
            <w:tcW w:w="10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17,596</w:t>
            </w:r>
          </w:p>
        </w:tc>
        <w:tc>
          <w:tcPr>
            <w:tcW w:w="326" w:type="dxa"/>
            <w:tcBorders/>
            <w:shd w:fill="CCEEFF" w:val="cle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132,238</w:t>
            </w:r>
          </w:p>
        </w:tc>
        <w:tc>
          <w:tcPr>
            <w:tcW w:w="326" w:type="dxa"/>
            <w:tcBorders/>
            <w:shd w:fill="CCEEFF" w:val="clear"/>
            <w:vAlign w:val="center"/>
          </w:tcPr>
          <w:p>
            <w:pPr>
              <w:pStyle w:val="TableContents"/>
              <w:spacing w:before="0" w:after="0"/>
              <w:ind w:left="0" w:right="0" w:hanging="0"/>
              <w:rPr/>
            </w:pPr>
            <w:r>
              <w:rPr/>
              <w:t> </w:t>
            </w:r>
          </w:p>
        </w:tc>
        <w:tc>
          <w:tcPr>
            <w:tcW w:w="97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(19,213)</w:t>
            </w:r>
          </w:p>
        </w:tc>
        <w:tc>
          <w:tcPr>
            <w:tcW w:w="326" w:type="dxa"/>
            <w:tcBorders/>
            <w:shd w:fill="CCEEFF" w:val="clear"/>
            <w:vAlign w:val="center"/>
          </w:tcPr>
          <w:p>
            <w:pPr>
              <w:pStyle w:val="TableContents"/>
              <w:spacing w:before="0" w:after="0"/>
              <w:ind w:left="0" w:right="0" w:hanging="0"/>
              <w:rPr/>
            </w:pPr>
            <w:r>
              <w:rPr/>
              <w:t> </w:t>
            </w:r>
          </w:p>
        </w:tc>
        <w:tc>
          <w:tcPr>
            <w:tcW w:w="109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140,792</w:t>
            </w:r>
          </w:p>
        </w:tc>
      </w:tr>
      <w:tr>
        <w:trPr/>
        <w:tc>
          <w:tcPr>
            <w:tcW w:w="2551"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 xml:space="preserve">(1) </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(2,152)</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(16,377)</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19,213</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(8,276)</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(15,397)</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(18,172)</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(116,771)</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(158,616)</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(8,276)</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(16,081)</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(20,324)</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(133,148)</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19,213</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(158,616)</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(8,276)</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(5,910)</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(2,728)</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(910)</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(17,824)</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(loss) from non-operations</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(7,145)</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698</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(5,955)</w:t>
            </w:r>
          </w:p>
        </w:tc>
      </w:tr>
      <w:tr>
        <w:trPr/>
        <w:tc>
          <w:tcPr>
            <w:tcW w:w="2551"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loss of subsidiaries and VIEs </w:t>
            </w:r>
            <w:r>
              <w:rPr>
                <w:rFonts w:ascii="Times New Roman;Times;serif" w:hAnsi="Times New Roman;Times;serif"/>
                <w:sz w:val="12"/>
              </w:rPr>
              <w:t xml:space="preserve">(2) </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(15,882)</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(2,952)</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19,131</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before income tax expenses</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(16,007)</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(2,907)</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(212)</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(23,779)</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(15,881)</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(2,952)</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(297)</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(23,783)</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 Net income attributable to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loss attributable to DiDi Global Inc</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(15,882)</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(2,952)</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(297)</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19,131</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(23,784)</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51"/>
        <w:gridCol w:w="326"/>
        <w:gridCol w:w="682"/>
        <w:gridCol w:w="326"/>
        <w:gridCol w:w="961"/>
        <w:gridCol w:w="326"/>
        <w:gridCol w:w="1021"/>
        <w:gridCol w:w="326"/>
        <w:gridCol w:w="961"/>
        <w:gridCol w:w="326"/>
        <w:gridCol w:w="976"/>
        <w:gridCol w:w="326"/>
        <w:gridCol w:w="1097"/>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19885" cy="175260"/>
                      <wp:effectExtent l="0" t="0" r="0" b="0"/>
                      <wp:wrapNone/>
                      <wp:docPr id="19" name="Frame18"/>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3070" cy="175260"/>
                      <wp:effectExtent l="0" t="0" r="0" b="0"/>
                      <wp:wrapNone/>
                      <wp:docPr id="21" name="Frame20"/>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10235" cy="175260"/>
                      <wp:effectExtent l="0" t="0" r="0" b="0"/>
                      <wp:wrapNone/>
                      <wp:docPr id="23" name="Frame22"/>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335" cy="175260"/>
                      <wp:effectExtent l="0" t="0" r="0" b="0"/>
                      <wp:wrapNone/>
                      <wp:docPr id="25" name="Frame24"/>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0235" cy="175260"/>
                      <wp:effectExtent l="0" t="0" r="0" b="0"/>
                      <wp:wrapNone/>
                      <wp:docPr id="27" name="Frame26"/>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19760" cy="175260"/>
                      <wp:effectExtent l="0" t="0" r="0" b="0"/>
                      <wp:wrapNone/>
                      <wp:docPr id="29" name="Frame28"/>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6595" cy="175260"/>
                      <wp:effectExtent l="0" t="0" r="0" b="0"/>
                      <wp:wrapNone/>
                      <wp:docPr id="31" name="Frame30"/>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2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For the Year Ended December 31, 2021</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28"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51"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(1)</w:t>
            </w:r>
          </w:p>
        </w:tc>
        <w:tc>
          <w:tcPr>
            <w:tcW w:w="326"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15,452</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(18,047)</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6,593</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166,603</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173,827</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spacing w:before="0" w:after="0"/>
              <w:ind w:left="0" w:right="0" w:hanging="0"/>
              <w:rPr/>
            </w:pPr>
            <w:r>
              <w:rPr/>
              <w:t>​</w:t>
            </w:r>
          </w:p>
        </w:tc>
        <w:tc>
          <w:tcPr>
            <w:tcW w:w="68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7,480</w:t>
            </w:r>
          </w:p>
        </w:tc>
        <w:tc>
          <w:tcPr>
            <w:tcW w:w="326" w:type="dxa"/>
            <w:tcBorders/>
            <w:shd w:fill="CCEEFF" w:val="clear"/>
            <w:vAlign w:val="center"/>
          </w:tcPr>
          <w:p>
            <w:pPr>
              <w:pStyle w:val="TableContents"/>
              <w:spacing w:before="0" w:after="0"/>
              <w:ind w:left="0" w:right="0" w:hanging="0"/>
              <w:rPr/>
            </w:pPr>
            <w:r>
              <w:rPr/>
              <w:t> </w:t>
            </w:r>
          </w:p>
        </w:tc>
        <w:tc>
          <w:tcPr>
            <w:tcW w:w="10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16,083</w:t>
            </w:r>
          </w:p>
        </w:tc>
        <w:tc>
          <w:tcPr>
            <w:tcW w:w="326" w:type="dxa"/>
            <w:tcBorders/>
            <w:shd w:fill="CCEEFF" w:val="cle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168,311</w:t>
            </w:r>
          </w:p>
        </w:tc>
        <w:tc>
          <w:tcPr>
            <w:tcW w:w="326" w:type="dxa"/>
            <w:tcBorders/>
            <w:shd w:fill="CCEEFF" w:val="clear"/>
            <w:vAlign w:val="center"/>
          </w:tcPr>
          <w:p>
            <w:pPr>
              <w:pStyle w:val="TableContents"/>
              <w:spacing w:before="0" w:after="0"/>
              <w:ind w:left="0" w:right="0" w:hanging="0"/>
              <w:rPr/>
            </w:pPr>
            <w:r>
              <w:rPr/>
              <w:t> </w:t>
            </w:r>
          </w:p>
        </w:tc>
        <w:tc>
          <w:tcPr>
            <w:tcW w:w="97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(18,047)</w:t>
            </w:r>
          </w:p>
        </w:tc>
        <w:tc>
          <w:tcPr>
            <w:tcW w:w="326" w:type="dxa"/>
            <w:tcBorders/>
            <w:shd w:fill="CCEEFF" w:val="clear"/>
            <w:vAlign w:val="center"/>
          </w:tcPr>
          <w:p>
            <w:pPr>
              <w:pStyle w:val="TableContents"/>
              <w:spacing w:before="0" w:after="0"/>
              <w:ind w:left="0" w:right="0" w:hanging="0"/>
              <w:rPr/>
            </w:pPr>
            <w:r>
              <w:rPr/>
              <w:t> </w:t>
            </w:r>
          </w:p>
        </w:tc>
        <w:tc>
          <w:tcPr>
            <w:tcW w:w="109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173,827</w:t>
            </w:r>
          </w:p>
        </w:tc>
      </w:tr>
      <w:tr>
        <w:trPr/>
        <w:tc>
          <w:tcPr>
            <w:tcW w:w="2551"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(1)</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(2,126)</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(15,321)</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18,047</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pPr>
            <w:r>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(45,866)</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(18,021)</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(158,287)</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(222,269)</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(46,466)</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(20,147)</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(173,608)</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18,047</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(222,269)</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(38,986)</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(4,064)</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(5,297)</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(48,442)</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(loss) from non-operations</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406</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r>
      <w:tr>
        <w:trPr/>
        <w:tc>
          <w:tcPr>
            <w:tcW w:w="2551"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loss of subsidiaries and VIEs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(49,654)</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(9,979)</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(5,958)</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65,591</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before income tax expenses</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(49,789)</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(9,971)</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(5,656)</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(49,168)</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(49,645)</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(9,979)</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(5,958)</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(49,334)</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 Net income attributable to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loss attributable to DiDi Global Inc</w:t>
            </w:r>
          </w:p>
        </w:tc>
        <w:tc>
          <w:tcPr>
            <w:tcW w:w="326" w:type="dxa"/>
            <w:tcBorders/>
            <w:shd w:fill="auto" w:val="clear"/>
            <w:vAlign w:val="center"/>
          </w:tcPr>
          <w:p>
            <w:pPr>
              <w:pStyle w:val="TableContents"/>
              <w:spacing w:before="0" w:after="0"/>
              <w:ind w:left="0" w:right="0" w:hanging="0"/>
              <w:rPr/>
            </w:pPr>
            <w:r>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(49,654)</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(9,979)</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(5,958)</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65,591</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(49,343)</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49"/>
        <w:gridCol w:w="326"/>
        <w:gridCol w:w="684"/>
        <w:gridCol w:w="326"/>
        <w:gridCol w:w="961"/>
        <w:gridCol w:w="326"/>
        <w:gridCol w:w="1021"/>
        <w:gridCol w:w="326"/>
        <w:gridCol w:w="961"/>
        <w:gridCol w:w="326"/>
        <w:gridCol w:w="976"/>
        <w:gridCol w:w="326"/>
        <w:gridCol w:w="1097"/>
      </w:tblGrid>
      <w:tr>
        <w:trPr/>
        <w:tc>
          <w:tcPr>
            <w:tcW w:w="25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18615" cy="175260"/>
                      <wp:effectExtent l="0" t="0" r="0" b="0"/>
                      <wp:wrapNone/>
                      <wp:docPr id="32" name="Frame31"/>
                      <a:graphic xmlns:a="http://schemas.openxmlformats.org/drawingml/2006/main">
                        <a:graphicData uri="http://schemas.microsoft.com/office/word/2010/wordprocessingShape">
                          <wps:wsp>
                            <wps:cNvSpPr txBox="1"/>
                            <wps:spPr>
                              <a:xfrm>
                                <a:off x="0" y="0"/>
                                <a:ext cx="1618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4340" cy="175260"/>
                      <wp:effectExtent l="0" t="0" r="0" b="0"/>
                      <wp:wrapNone/>
                      <wp:docPr id="34" name="Frame33"/>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0235" cy="175260"/>
                      <wp:effectExtent l="0" t="0" r="0" b="0"/>
                      <wp:wrapNone/>
                      <wp:docPr id="36" name="Frame35"/>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335" cy="175260"/>
                      <wp:effectExtent l="0" t="0" r="0" b="0"/>
                      <wp:wrapNone/>
                      <wp:docPr id="38" name="Frame37"/>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10235" cy="175260"/>
                      <wp:effectExtent l="0" t="0" r="0" b="0"/>
                      <wp:wrapNone/>
                      <wp:docPr id="40" name="Frame3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19760" cy="175260"/>
                      <wp:effectExtent l="0" t="0" r="0" b="0"/>
                      <wp:wrapNone/>
                      <wp:docPr id="42" name="Frame41"/>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6595" cy="175260"/>
                      <wp:effectExtent l="0" t="0" r="0" b="0"/>
                      <wp:wrapNone/>
                      <wp:docPr id="44" name="Frame43"/>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30"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For the Year Ended December 31, 2020</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3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9"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revenues </w:t>
            </w:r>
            <w:r>
              <w:rPr>
                <w:rFonts w:ascii="Times New Roman;Times;serif" w:hAnsi="Times New Roman;Times;serif"/>
                <w:sz w:val="12"/>
              </w:rPr>
              <w:t xml:space="preserve">(1) </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776</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13,135</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1,068</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(14,979)</w:t>
            </w:r>
          </w:p>
        </w:tc>
        <w:tc>
          <w:tcPr>
            <w:tcW w:w="326" w:type="dxa"/>
            <w:tcBorders/>
            <w:shd w:fill="CCEEFF" w:val="clear"/>
            <w:vAlign w:val="center"/>
          </w:tcPr>
          <w:p>
            <w:pPr>
              <w:pStyle w:val="TableContents"/>
              <w:spacing w:before="0" w:after="0"/>
              <w:ind w:left="0" w:right="0" w:hanging="0"/>
              <w:rPr/>
            </w:pPr>
            <w:r>
              <w:rPr/>
              <w:t> </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revenues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4,911</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136,818</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141,736</w:t>
            </w:r>
          </w:p>
        </w:tc>
      </w:tr>
      <w:tr>
        <w:trPr/>
        <w:tc>
          <w:tcPr>
            <w:tcW w:w="2549"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revenues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5,687</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13,142</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137,886</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(14,979)</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141,736</w:t>
            </w:r>
          </w:p>
        </w:tc>
      </w:tr>
      <w:tr>
        <w:trPr/>
        <w:tc>
          <w:tcPr>
            <w:tcW w:w="2549"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Inter-company costs and expenses </w:t>
            </w:r>
            <w:r>
              <w:rPr>
                <w:rFonts w:ascii="Times New Roman;Times;serif" w:hAnsi="Times New Roman;Times;serif"/>
                <w:sz w:val="12"/>
              </w:rPr>
              <w:t xml:space="preserve">(1) </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(1,810)</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(12,896)</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14,979</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Third-party costs and expenses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(15,037)</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(13,350)</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(127,118)</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(155,524)</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costs and expenses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(15,310)</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(15,160)</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(140,014)</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14,979</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(155,524)</w:t>
            </w:r>
          </w:p>
        </w:tc>
      </w:tr>
      <w:tr>
        <w:trPr/>
        <w:tc>
          <w:tcPr>
            <w:tcW w:w="2549"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(9,623)</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(2,018)</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(2,128)</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(13,788)</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from non-operations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1,652</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2,877</w:t>
            </w:r>
          </w:p>
        </w:tc>
      </w:tr>
      <w:tr>
        <w:trPr/>
        <w:tc>
          <w:tcPr>
            <w:tcW w:w="2549"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Share of loss of subsidiaries and VIEs </w:t>
            </w:r>
            <w:r>
              <w:rPr>
                <w:rFonts w:ascii="Times New Roman;Times;serif" w:hAnsi="Times New Roman;Times;serif"/>
                <w:sz w:val="12"/>
              </w:rPr>
              <w:t xml:space="preserve">(2) </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(10,549)</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(2,537)</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(543)</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13,629</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before income tax expenses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(10,514)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(11,013)</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(2,537)</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(476)</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13,629</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(10,911)</w:t>
            </w:r>
          </w:p>
        </w:tc>
      </w:tr>
      <w:tr>
        <w:trPr/>
        <w:tc>
          <w:tcPr>
            <w:tcW w:w="25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Net loss </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(10,514)</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(10,643)</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(2,537)</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(543)</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13,629</w:t>
            </w:r>
          </w:p>
        </w:tc>
        <w:tc>
          <w:tcPr>
            <w:tcW w:w="326" w:type="dxa"/>
            <w:tcBorders/>
            <w:shd w:fill="auto" w:val="clear"/>
            <w:vAlign w:val="center"/>
          </w:tcPr>
          <w:p>
            <w:pPr>
              <w:pStyle w:val="TableContents"/>
              <w:spacing w:before="0" w:after="0"/>
              <w:ind w:left="0" w:right="0" w:hanging="0"/>
              <w:rPr/>
            </w:pPr>
            <w:r>
              <w:rPr/>
              <w:t> </w:t>
            </w:r>
          </w:p>
        </w:tc>
        <w:tc>
          <w:tcPr>
            <w:tcW w:w="1097"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(10,608)</w:t>
            </w:r>
          </w:p>
        </w:tc>
      </w:tr>
      <w:tr>
        <w:trPr/>
        <w:tc>
          <w:tcPr>
            <w:tcW w:w="25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 Net loss attributable to non-controlling interest shareholders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r>
      <w:tr>
        <w:trPr/>
        <w:tc>
          <w:tcPr>
            <w:tcW w:w="254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Net loss attributable to DiDi Global Inc. </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(10,514)</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(10,549)</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(2,537)</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(543)</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13,629</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(10,514)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Selected Condensed Consolidated Balance Sheet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633"/>
        <w:gridCol w:w="326"/>
        <w:gridCol w:w="601"/>
        <w:gridCol w:w="326"/>
        <w:gridCol w:w="961"/>
        <w:gridCol w:w="326"/>
        <w:gridCol w:w="1021"/>
        <w:gridCol w:w="326"/>
        <w:gridCol w:w="961"/>
        <w:gridCol w:w="326"/>
        <w:gridCol w:w="976"/>
        <w:gridCol w:w="326"/>
        <w:gridCol w:w="1096"/>
      </w:tblGrid>
      <w:tr>
        <w:trPr/>
        <w:tc>
          <w:tcPr>
            <w:tcW w:w="26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71955" cy="175260"/>
                      <wp:effectExtent l="0" t="0" r="0" b="0"/>
                      <wp:wrapNone/>
                      <wp:docPr id="45" name="Frame44"/>
                      <a:graphic xmlns:a="http://schemas.openxmlformats.org/drawingml/2006/main">
                        <a:graphicData uri="http://schemas.microsoft.com/office/word/2010/wordprocessingShape">
                          <wps:wsp>
                            <wps:cNvSpPr txBox="1"/>
                            <wps:spPr>
                              <a:xfrm>
                                <a:off x="0" y="0"/>
                                <a:ext cx="1671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1635" cy="175260"/>
                      <wp:effectExtent l="0" t="0" r="0" b="0"/>
                      <wp:wrapNone/>
                      <wp:docPr id="47" name="Frame4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10235" cy="175260"/>
                      <wp:effectExtent l="0" t="0" r="0" b="0"/>
                      <wp:wrapNone/>
                      <wp:docPr id="49" name="Frame4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335" cy="175260"/>
                      <wp:effectExtent l="0" t="0" r="0" b="0"/>
                      <wp:wrapNone/>
                      <wp:docPr id="51" name="Frame50"/>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0235" cy="175260"/>
                      <wp:effectExtent l="0" t="0" r="0" b="0"/>
                      <wp:wrapNone/>
                      <wp:docPr id="53" name="Frame52"/>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19760" cy="175260"/>
                      <wp:effectExtent l="0" t="0" r="0" b="0"/>
                      <wp:wrapNone/>
                      <wp:docPr id="55" name="Frame54"/>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5960" cy="175260"/>
                      <wp:effectExtent l="0" t="0" r="0" b="0"/>
                      <wp:wrapNone/>
                      <wp:docPr id="57" name="Frame56"/>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4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6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pPr>
            <w:r>
              <w:rPr/>
              <w:t>​</w:t>
            </w:r>
          </w:p>
        </w:tc>
      </w:tr>
      <w:tr>
        <w:trPr/>
        <w:tc>
          <w:tcPr>
            <w:tcW w:w="26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6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246"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jc w:val="center"/>
              <w:rPr/>
            </w:pPr>
            <w:r>
              <w:rPr/>
              <w:t>​</w:t>
            </w:r>
          </w:p>
        </w:tc>
        <w:tc>
          <w:tcPr>
            <w:tcW w:w="60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02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7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center"/>
              <w:rPr/>
            </w:pPr>
            <w:r>
              <w:rPr/>
              <w:t>  </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13,868</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5,559</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20,855</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739</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821</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13,059</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1,578</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2,911</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17,548</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receivable, net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1,353</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2,252</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Loans receivable, net </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3,266</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2,073</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5,339</w:t>
            </w:r>
          </w:p>
        </w:tc>
      </w:tr>
      <w:tr>
        <w:trPr/>
        <w:tc>
          <w:tcPr>
            <w:tcW w:w="2633"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99,291</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35,704</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8,656</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29,306</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(172,957)</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pPr>
            <w:r>
              <w:rPr/>
              <w:t>—</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Investment securities and other investments</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15,592</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2,216</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18,010</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investments, net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1,509</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3,225</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4,734</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1,815</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5,718</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982</w:t>
            </w:r>
          </w:p>
        </w:tc>
        <w:tc>
          <w:tcPr>
            <w:tcW w:w="326" w:type="dxa"/>
            <w:tcBorders/>
            <w:shd w:fill="CCEEFF" w:val="clear"/>
            <w:vAlign w:val="center"/>
          </w:tcPr>
          <w:p>
            <w:pPr>
              <w:pStyle w:val="TableContents"/>
              <w:spacing w:before="0" w:after="0"/>
              <w:ind w:left="0" w:right="0" w:hanging="0"/>
              <w:jc w:val="right"/>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1,724</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4,008</w:t>
            </w:r>
          </w:p>
        </w:tc>
        <w:tc>
          <w:tcPr>
            <w:tcW w:w="326" w:type="dxa"/>
            <w:tcBorders/>
            <w:shd w:fill="CCEEFF" w:val="clear"/>
            <w:vAlign w:val="center"/>
          </w:tcPr>
          <w:p>
            <w:pPr>
              <w:pStyle w:val="TableContents"/>
              <w:spacing w:before="0" w:after="0"/>
              <w:ind w:left="0" w:right="0" w:hanging="0"/>
              <w:jc w:val="right"/>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2,519</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1,276</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7,834</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99,849</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138,803</w:t>
            </w:r>
          </w:p>
        </w:tc>
        <w:tc>
          <w:tcPr>
            <w:tcW w:w="326" w:type="dxa"/>
            <w:tcBorders/>
            <w:shd w:fill="auto" w:val="clear"/>
            <w:vAlign w:val="center"/>
          </w:tcPr>
          <w:p>
            <w:pPr>
              <w:pStyle w:val="TableContents"/>
              <w:spacing w:before="0" w:after="0"/>
              <w:ind w:left="0" w:right="0" w:hanging="0"/>
              <w:jc w:val="right"/>
              <w:rPr/>
            </w:pPr>
            <w:r>
              <w:rPr/>
              <w:t>​</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16,124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49,394</w:t>
            </w:r>
          </w:p>
        </w:tc>
        <w:tc>
          <w:tcPr>
            <w:tcW w:w="326" w:type="dxa"/>
            <w:tcBorders/>
            <w:shd w:fill="auto" w:val="clear"/>
            <w:vAlign w:val="center"/>
          </w:tcPr>
          <w:p>
            <w:pPr>
              <w:pStyle w:val="TableContents"/>
              <w:spacing w:before="0" w:after="0"/>
              <w:ind w:left="0" w:right="0" w:hanging="0"/>
              <w:jc w:val="right"/>
              <w:rPr/>
            </w:pPr>
            <w:r>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(172,957)</w:t>
            </w:r>
          </w:p>
        </w:tc>
        <w:tc>
          <w:tcPr>
            <w:tcW w:w="326" w:type="dxa"/>
            <w:tcBorders/>
            <w:shd w:fill="auto" w:val="clear"/>
            <w:vAlign w:val="center"/>
          </w:tcPr>
          <w:p>
            <w:pPr>
              <w:pStyle w:val="TableContents"/>
              <w:spacing w:before="0" w:after="0"/>
              <w:ind w:left="0" w:right="0" w:hanging="0"/>
              <w:jc w:val="right"/>
              <w:rPr/>
            </w:pPr>
            <w:r>
              <w:rPr/>
              <w:t>​</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131,213</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LIABILITIES, MEZZANINE EQUITY AND SHAREHOLDERS’ EQUITY (DEFICIT)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96" w:type="dxa"/>
            <w:tcBorders/>
            <w:shd w:fill="CCEEFF" w:val="clear"/>
            <w:vAlign w:val="center"/>
          </w:tcPr>
          <w:p>
            <w:pPr>
              <w:pStyle w:val="TableContents"/>
              <w:spacing w:before="0" w:after="0"/>
              <w:ind w:left="0" w:right="0" w:hanging="0"/>
              <w:jc w:val="right"/>
              <w:rPr/>
            </w:pPr>
            <w:r>
              <w:rPr/>
              <w:t>​</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borrowings</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2,718</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payable</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2,673</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2,870</w:t>
            </w:r>
          </w:p>
        </w:tc>
      </w:tr>
      <w:tr>
        <w:trPr/>
        <w:tc>
          <w:tcPr>
            <w:tcW w:w="2633"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4,139</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161,720</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22,534</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63,722</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(252,115)</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pPr>
            <w:r>
              <w:rPr/>
              <w:t>—</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658</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borrowings</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4,029</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3,373</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4,734</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12,571</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4,574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168,413</w:t>
            </w:r>
          </w:p>
        </w:tc>
        <w:tc>
          <w:tcPr>
            <w:tcW w:w="326" w:type="dxa"/>
            <w:tcBorders/>
            <w:shd w:fill="auto" w:val="clear"/>
            <w:vAlign w:val="center"/>
          </w:tcPr>
          <w:p>
            <w:pPr>
              <w:pStyle w:val="TableContents"/>
              <w:spacing w:before="0" w:after="0"/>
              <w:ind w:left="0" w:right="0" w:hanging="0"/>
              <w:jc w:val="right"/>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29,314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71,603</w:t>
            </w:r>
          </w:p>
        </w:tc>
        <w:tc>
          <w:tcPr>
            <w:tcW w:w="326" w:type="dxa"/>
            <w:tcBorders/>
            <w:shd w:fill="auto" w:val="clear"/>
            <w:vAlign w:val="center"/>
          </w:tcPr>
          <w:p>
            <w:pPr>
              <w:pStyle w:val="TableContents"/>
              <w:spacing w:before="0" w:after="0"/>
              <w:ind w:left="0" w:right="0" w:hanging="0"/>
              <w:jc w:val="right"/>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(252,115)</w:t>
            </w:r>
          </w:p>
        </w:tc>
        <w:tc>
          <w:tcPr>
            <w:tcW w:w="326" w:type="dxa"/>
            <w:tcBorders/>
            <w:shd w:fill="auto" w:val="clear"/>
            <w:vAlign w:val="center"/>
          </w:tcPr>
          <w:p>
            <w:pPr>
              <w:pStyle w:val="TableContents"/>
              <w:spacing w:before="0" w:after="0"/>
              <w:ind w:left="0" w:right="0" w:hanging="0"/>
              <w:jc w:val="right"/>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21,789</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 xml:space="preserve">Mezzanine equity </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24,885</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(10,805)</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14,080</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DiDi Global Inc. shareholders’ equity (deficit)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(54,564)</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(13,190)</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(22,209)</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89,963</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263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shareholders’ equity (deficit)</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95,275</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(54,495)</w:t>
            </w:r>
          </w:p>
        </w:tc>
        <w:tc>
          <w:tcPr>
            <w:tcW w:w="326" w:type="dxa"/>
            <w:tcBorders/>
            <w:shd w:fill="auto" w:val="clear"/>
            <w:vAlign w:val="center"/>
          </w:tcPr>
          <w:p>
            <w:pPr>
              <w:pStyle w:val="TableContents"/>
              <w:spacing w:before="0" w:after="0"/>
              <w:ind w:left="0" w:right="0" w:hanging="0"/>
              <w:jc w:val="right"/>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(13,190)</w:t>
            </w:r>
          </w:p>
        </w:tc>
        <w:tc>
          <w:tcPr>
            <w:tcW w:w="326" w:type="dxa"/>
            <w:tcBorders/>
            <w:shd w:fill="auto" w:val="clear"/>
            <w:vAlign w:val="center"/>
          </w:tcPr>
          <w:p>
            <w:pPr>
              <w:pStyle w:val="TableContents"/>
              <w:spacing w:before="0" w:after="0"/>
              <w:ind w:left="0" w:right="0" w:hanging="0"/>
              <w:jc w:val="right"/>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(22,209)</w:t>
            </w:r>
          </w:p>
        </w:tc>
        <w:tc>
          <w:tcPr>
            <w:tcW w:w="326" w:type="dxa"/>
            <w:tcBorders/>
            <w:shd w:fill="auto" w:val="clear"/>
            <w:vAlign w:val="center"/>
          </w:tcPr>
          <w:p>
            <w:pPr>
              <w:pStyle w:val="TableContents"/>
              <w:spacing w:before="0" w:after="0"/>
              <w:ind w:left="0" w:right="0" w:hanging="0"/>
              <w:jc w:val="right"/>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89,963</w:t>
            </w:r>
          </w:p>
        </w:tc>
        <w:tc>
          <w:tcPr>
            <w:tcW w:w="326" w:type="dxa"/>
            <w:tcBorders/>
            <w:shd w:fill="auto" w:val="clear"/>
            <w:vAlign w:val="center"/>
          </w:tcPr>
          <w:p>
            <w:pPr>
              <w:pStyle w:val="TableContents"/>
              <w:spacing w:before="0" w:after="0"/>
              <w:ind w:left="0" w:right="0" w:hanging="0"/>
              <w:jc w:val="right"/>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95,344</w:t>
            </w:r>
          </w:p>
        </w:tc>
      </w:tr>
      <w:tr>
        <w:trPr/>
        <w:tc>
          <w:tcPr>
            <w:tcW w:w="263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liabilities, mezzanine equity and shareholders’ equity (deficit)</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99,849</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138,803</w:t>
            </w:r>
          </w:p>
        </w:tc>
        <w:tc>
          <w:tcPr>
            <w:tcW w:w="326" w:type="dxa"/>
            <w:tcBorders/>
            <w:shd w:fill="CCEEFF" w:val="clear"/>
            <w:vAlign w:val="center"/>
          </w:tcPr>
          <w:p>
            <w:pPr>
              <w:pStyle w:val="TableContents"/>
              <w:spacing w:before="0" w:after="0"/>
              <w:ind w:left="0" w:right="0" w:hanging="0"/>
              <w:jc w:val="right"/>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16,124</w:t>
            </w:r>
          </w:p>
        </w:tc>
        <w:tc>
          <w:tcPr>
            <w:tcW w:w="326" w:type="dxa"/>
            <w:tcBorders/>
            <w:shd w:fill="CCEEFF" w:val="clear"/>
            <w:vAlign w:val="center"/>
          </w:tcPr>
          <w:p>
            <w:pPr>
              <w:pStyle w:val="TableContents"/>
              <w:spacing w:before="0" w:after="0"/>
              <w:ind w:left="0" w:right="0" w:hanging="0"/>
              <w:jc w:val="right"/>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49,394</w:t>
            </w:r>
          </w:p>
        </w:tc>
        <w:tc>
          <w:tcPr>
            <w:tcW w:w="326" w:type="dxa"/>
            <w:tcBorders/>
            <w:shd w:fill="CCEEFF" w:val="clear"/>
            <w:vAlign w:val="center"/>
          </w:tcPr>
          <w:p>
            <w:pPr>
              <w:pStyle w:val="TableContents"/>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(172,957)</w:t>
            </w:r>
          </w:p>
        </w:tc>
        <w:tc>
          <w:tcPr>
            <w:tcW w:w="326" w:type="dxa"/>
            <w:tcBorders/>
            <w:shd w:fill="CCEEFF" w:val="clear"/>
            <w:vAlign w:val="center"/>
          </w:tcPr>
          <w:p>
            <w:pPr>
              <w:pStyle w:val="TableContents"/>
              <w:spacing w:before="0" w:after="0"/>
              <w:ind w:left="0" w:right="0" w:hanging="0"/>
              <w:jc w:val="right"/>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131,213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543"/>
        <w:gridCol w:w="326"/>
        <w:gridCol w:w="691"/>
        <w:gridCol w:w="326"/>
        <w:gridCol w:w="961"/>
        <w:gridCol w:w="326"/>
        <w:gridCol w:w="1021"/>
        <w:gridCol w:w="326"/>
        <w:gridCol w:w="961"/>
        <w:gridCol w:w="326"/>
        <w:gridCol w:w="976"/>
        <w:gridCol w:w="326"/>
        <w:gridCol w:w="1096"/>
      </w:tblGrid>
      <w:tr>
        <w:trPr/>
        <w:tc>
          <w:tcPr>
            <w:tcW w:w="2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14805" cy="175260"/>
                      <wp:effectExtent l="0" t="0" r="0" b="0"/>
                      <wp:wrapNone/>
                      <wp:docPr id="58" name="Frame57"/>
                      <a:graphic xmlns:a="http://schemas.openxmlformats.org/drawingml/2006/main">
                        <a:graphicData uri="http://schemas.microsoft.com/office/word/2010/wordprocessingShape">
                          <wps:wsp>
                            <wps:cNvSpPr txBox="1"/>
                            <wps:spPr>
                              <a:xfrm>
                                <a:off x="0" y="0"/>
                                <a:ext cx="161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38785" cy="175260"/>
                      <wp:effectExtent l="0" t="0" r="0" b="0"/>
                      <wp:wrapNone/>
                      <wp:docPr id="60" name="Frame5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0235" cy="175260"/>
                      <wp:effectExtent l="0" t="0" r="0" b="0"/>
                      <wp:wrapNone/>
                      <wp:docPr id="62" name="Frame6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335" cy="175260"/>
                      <wp:effectExtent l="0" t="0" r="0" b="0"/>
                      <wp:wrapNone/>
                      <wp:docPr id="64" name="Frame63"/>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10235" cy="175260"/>
                      <wp:effectExtent l="0" t="0" r="0" b="0"/>
                      <wp:wrapNone/>
                      <wp:docPr id="66" name="Frame65"/>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9760" cy="175260"/>
                      <wp:effectExtent l="0" t="0" r="0" b="0"/>
                      <wp:wrapNone/>
                      <wp:docPr id="68" name="Frame67"/>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5960" cy="175260"/>
                      <wp:effectExtent l="0" t="0" r="0" b="0"/>
                      <wp:wrapNone/>
                      <wp:docPr id="70" name="Frame6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3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2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pPr>
            <w:r>
              <w:rPr/>
              <w:t>​</w:t>
            </w:r>
          </w:p>
        </w:tc>
      </w:tr>
      <w:tr>
        <w:trPr/>
        <w:tc>
          <w:tcPr>
            <w:tcW w:w="2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36"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jc w:val="center"/>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02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97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center"/>
              <w:rPr/>
            </w:pPr>
            <w:r>
              <w:rPr/>
              <w:t>  </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440</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21,897</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2,594</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18,499</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43,430</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10,621</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764</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13,344</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receivable, net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1,081</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1,622</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2,831</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Loans receivable, net </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1,426</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4,644</w:t>
            </w:r>
          </w:p>
        </w:tc>
      </w:tr>
      <w:tr>
        <w:trPr/>
        <w:tc>
          <w:tcPr>
            <w:tcW w:w="2543"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117,488</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35,708</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4,616</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20,730</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(178,542)</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Investment securities and other investments</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13,540</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4,709</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18,634</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investments, net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1,551</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3,064</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4,615</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5,760</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1,890</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350</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2,393</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515</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3,286</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3,708</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2,197</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1,330</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7,285</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118,363</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146,288</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13,772</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53,117</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(178,542)</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152,998</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LIABILITIES, MEZZANINE EQUITY AND SHAREHOLDERS’ EQUITY (DEFICIT)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borrowings</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2,508</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3,505</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825</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6,838</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payable</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3,706</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4,625</w:t>
            </w:r>
          </w:p>
        </w:tc>
      </w:tr>
      <w:tr>
        <w:trPr/>
        <w:tc>
          <w:tcPr>
            <w:tcW w:w="2543"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(2)</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5,978</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145,794</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17,975</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58,676</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(228,423)</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795</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1,172</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Long-term borrowings</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1,359</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1,681</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2,698</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4,105</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6,094</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13,235</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 xml:space="preserve">Total liabilities </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6,316</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153,408</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26,711</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69,539</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(228,423)</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27,551</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Mezzanine equity</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23,825</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(10,498)</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13,327</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DiDi Global Inc. shareholders’ equity (deficit)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112,047</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(31,018)</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(12,939)</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(16,422)</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60,379</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112,047</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Non-controlling interests </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254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shareholders’ equity (deficit)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112,047</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(30,945)</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(12,939)</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(16,422)</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60,379</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112,120</w:t>
            </w:r>
          </w:p>
        </w:tc>
      </w:tr>
      <w:tr>
        <w:trPr/>
        <w:tc>
          <w:tcPr>
            <w:tcW w:w="254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liabilities, mezzanine equity and shareholders’ equity (deficit)</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118,363</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146,288</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13,772</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53,117</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(178,542)</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152,998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Selected Condensed Consolidated Cash Flow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620"/>
        <w:gridCol w:w="326"/>
        <w:gridCol w:w="613"/>
        <w:gridCol w:w="326"/>
        <w:gridCol w:w="961"/>
        <w:gridCol w:w="326"/>
        <w:gridCol w:w="1021"/>
        <w:gridCol w:w="326"/>
        <w:gridCol w:w="961"/>
        <w:gridCol w:w="326"/>
        <w:gridCol w:w="976"/>
        <w:gridCol w:w="326"/>
        <w:gridCol w:w="1097"/>
      </w:tblGrid>
      <w:tr>
        <w:trPr/>
        <w:tc>
          <w:tcPr>
            <w:tcW w:w="26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63700" cy="175260"/>
                      <wp:effectExtent l="0" t="0" r="0" b="0"/>
                      <wp:wrapNone/>
                      <wp:docPr id="71" name="Frame70"/>
                      <a:graphic xmlns:a="http://schemas.openxmlformats.org/drawingml/2006/main">
                        <a:graphicData uri="http://schemas.microsoft.com/office/word/2010/wordprocessingShape">
                          <wps:wsp>
                            <wps:cNvSpPr txBox="1"/>
                            <wps:spPr>
                              <a:xfrm>
                                <a:off x="0" y="0"/>
                                <a:ext cx="1663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89255" cy="175260"/>
                      <wp:effectExtent l="0" t="0" r="0" b="0"/>
                      <wp:wrapNone/>
                      <wp:docPr id="73" name="Frame72"/>
                      <a:graphic xmlns:a="http://schemas.openxmlformats.org/drawingml/2006/main">
                        <a:graphicData uri="http://schemas.microsoft.com/office/word/2010/wordprocessingShape">
                          <wps:wsp>
                            <wps:cNvSpPr txBox="1"/>
                            <wps:spPr>
                              <a:xfrm>
                                <a:off x="0" y="0"/>
                                <a:ext cx="389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10235" cy="175260"/>
                      <wp:effectExtent l="0" t="0" r="0" b="0"/>
                      <wp:wrapNone/>
                      <wp:docPr id="75" name="Frame74"/>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335" cy="175260"/>
                      <wp:effectExtent l="0" t="0" r="0" b="0"/>
                      <wp:wrapNone/>
                      <wp:docPr id="77" name="Frame76"/>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10235" cy="175260"/>
                      <wp:effectExtent l="0" t="0" r="0" b="0"/>
                      <wp:wrapNone/>
                      <wp:docPr id="79" name="Frame7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9760" cy="175260"/>
                      <wp:effectExtent l="0" t="0" r="0" b="0"/>
                      <wp:wrapNone/>
                      <wp:docPr id="81" name="Frame8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6595" cy="175260"/>
                      <wp:effectExtent l="0" t="0" r="0" b="0"/>
                      <wp:wrapNone/>
                      <wp:docPr id="83" name="Frame82"/>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6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1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6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6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59"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20"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 xml:space="preserve">(3) </w:t>
            </w:r>
          </w:p>
        </w:tc>
        <w:tc>
          <w:tcPr>
            <w:tcW w:w="326" w:type="dxa"/>
            <w:tcBorders/>
            <w:shd w:fill="CCEEFF" w:val="clear"/>
            <w:vAlign w:val="center"/>
          </w:tcPr>
          <w:p>
            <w:pPr>
              <w:pStyle w:val="TableContents"/>
              <w:spacing w:before="0" w:after="0"/>
              <w:ind w:left="0" w:right="0" w:hanging="0"/>
              <w:jc w:val="center"/>
              <w:rPr/>
            </w:pPr>
            <w:r>
              <w:rPr/>
              <w:t>​</w:t>
            </w:r>
          </w:p>
        </w:tc>
        <w:tc>
          <w:tcPr>
            <w:tcW w:w="61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(8,026)</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326" w:type="dxa"/>
            <w:tcBorders/>
            <w:shd w:fill="CCEEFF" w:val="clear"/>
            <w:vAlign w:val="center"/>
          </w:tcPr>
          <w:p>
            <w:pPr>
              <w:pStyle w:val="TableContents"/>
              <w:spacing w:before="0" w:after="0"/>
              <w:ind w:left="0" w:right="0" w:hanging="0"/>
              <w:jc w:val="center"/>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16,467</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(7,570)</w:t>
            </w:r>
          </w:p>
        </w:tc>
        <w:tc>
          <w:tcPr>
            <w:tcW w:w="326" w:type="dxa"/>
            <w:tcBorders/>
            <w:shd w:fill="CCEEFF" w:val="clear"/>
            <w:vAlign w:val="center"/>
          </w:tcPr>
          <w:p>
            <w:pPr>
              <w:pStyle w:val="TableContents"/>
              <w:spacing w:before="0" w:after="0"/>
              <w:ind w:left="0" w:right="0" w:hanging="0"/>
              <w:jc w:val="center"/>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shd w:fill="auto" w:val="clear"/>
            <w:vAlign w:val="center"/>
          </w:tcPr>
          <w:p>
            <w:pPr>
              <w:pStyle w:val="TableContents"/>
              <w:spacing w:before="0" w:after="0"/>
              <w:ind w:left="0" w:right="0" w:hanging="0"/>
              <w:jc w:val="center"/>
              <w:rPr/>
            </w:pPr>
            <w:r>
              <w:rPr/>
              <w:t>​</w:t>
            </w:r>
          </w:p>
        </w:tc>
        <w:tc>
          <w:tcPr>
            <w:tcW w:w="6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1,642</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(23,204)</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12,198</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(9,554)</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6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(8,216)</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(6,737)</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4,628</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(9,554)</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shd w:fill="auto" w:val="clear"/>
            <w:vAlign w:val="center"/>
          </w:tcPr>
          <w:p>
            <w:pPr>
              <w:pStyle w:val="TableContents"/>
              <w:spacing w:before="0" w:after="0"/>
              <w:ind w:left="0" w:right="0" w:hanging="0"/>
              <w:rPr/>
            </w:pPr>
            <w:r>
              <w:rPr/>
              <w:t>​</w:t>
            </w:r>
          </w:p>
        </w:tc>
        <w:tc>
          <w:tcPr>
            <w:tcW w:w="61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spacing w:before="0" w:after="0"/>
              <w:ind w:left="0" w:right="0" w:hanging="0"/>
              <w:rPr/>
            </w:pPr>
            <w:r>
              <w:rPr/>
              <w:t>​</w:t>
            </w:r>
          </w:p>
        </w:tc>
        <w:tc>
          <w:tcPr>
            <w:tcW w:w="61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(7,848)</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14,416</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shd w:fill="auto" w:val="clear"/>
            <w:vAlign w:val="center"/>
          </w:tcPr>
          <w:p>
            <w:pPr>
              <w:pStyle w:val="TableContents"/>
              <w:spacing w:before="0" w:after="0"/>
              <w:ind w:left="0" w:right="0" w:hanging="0"/>
              <w:rPr/>
            </w:pPr>
            <w:r>
              <w:rPr/>
              <w:t>​</w:t>
            </w:r>
          </w:p>
        </w:tc>
        <w:tc>
          <w:tcPr>
            <w:tcW w:w="61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14,704</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17,812</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(32,516)</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shd w:fill="CCEEFF" w:val="clear"/>
            <w:vAlign w:val="center"/>
          </w:tcPr>
          <w:p>
            <w:pPr>
              <w:pStyle w:val="TableContents"/>
              <w:spacing w:before="0" w:after="0"/>
              <w:ind w:left="0" w:right="0" w:hanging="0"/>
              <w:rPr/>
            </w:pPr>
            <w:r>
              <w:rPr/>
              <w:t>​</w:t>
            </w:r>
          </w:p>
        </w:tc>
        <w:tc>
          <w:tcPr>
            <w:tcW w:w="61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(10,751)</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(11,028)</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auto" w:val="clear"/>
            <w:vAlign w:val="center"/>
          </w:tcPr>
          <w:p>
            <w:pPr>
              <w:pStyle w:val="TableContents"/>
              <w:spacing w:before="0" w:after="0"/>
              <w:ind w:left="0" w:right="0" w:hanging="0"/>
              <w:rPr/>
            </w:pPr>
            <w:r>
              <w:rPr/>
              <w:t>​</w:t>
            </w:r>
          </w:p>
        </w:tc>
        <w:tc>
          <w:tcPr>
            <w:tcW w:w="61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8,045</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(1,173)</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161</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(438)</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(17,623)</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(11,028)</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shd w:fill="CCEEFF" w:val="clear"/>
            <w:vAlign w:val="center"/>
          </w:tcPr>
          <w:p>
            <w:pPr>
              <w:pStyle w:val="TableContents"/>
              <w:spacing w:before="0" w:after="0"/>
              <w:ind w:left="0" w:right="0" w:hanging="0"/>
              <w:rPr/>
            </w:pPr>
            <w:r>
              <w:rPr/>
              <w:t>​</w:t>
            </w:r>
          </w:p>
        </w:tc>
        <w:tc>
          <w:tcPr>
            <w:tcW w:w="61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from group companies</w:t>
            </w:r>
          </w:p>
        </w:tc>
        <w:tc>
          <w:tcPr>
            <w:tcW w:w="326" w:type="dxa"/>
            <w:tcBorders/>
            <w:shd w:fill="auto" w:val="clear"/>
            <w:vAlign w:val="center"/>
          </w:tcPr>
          <w:p>
            <w:pPr>
              <w:pStyle w:val="TableContents"/>
              <w:spacing w:before="0" w:after="0"/>
              <w:ind w:left="0" w:right="0" w:hanging="0"/>
              <w:rPr/>
            </w:pPr>
            <w:r>
              <w:rPr/>
              <w:t>​</w:t>
            </w:r>
          </w:p>
        </w:tc>
        <w:tc>
          <w:tcPr>
            <w:tcW w:w="61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5,898</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(14,416)</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shd w:fill="CCEEFF" w:val="clear"/>
            <w:vAlign w:val="center"/>
          </w:tcPr>
          <w:p>
            <w:pPr>
              <w:pStyle w:val="TableContents"/>
              <w:spacing w:before="0" w:after="0"/>
              <w:ind w:left="0" w:right="0" w:hanging="0"/>
              <w:rPr/>
            </w:pPr>
            <w:r>
              <w:rPr/>
              <w:t>​</w:t>
            </w:r>
          </w:p>
        </w:tc>
        <w:tc>
          <w:tcPr>
            <w:tcW w:w="61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(14,704)</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(17,812)</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32,516</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620"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(1,159)</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(3,545)</w:t>
            </w:r>
          </w:p>
        </w:tc>
      </w:tr>
      <w:tr>
        <w:trPr/>
        <w:tc>
          <w:tcPr>
            <w:tcW w:w="2620"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spacing w:before="0" w:after="0"/>
              <w:ind w:left="0" w:right="0" w:hanging="0"/>
              <w:rPr/>
            </w:pPr>
            <w:r>
              <w:rPr/>
              <w:t>​</w:t>
            </w:r>
          </w:p>
        </w:tc>
        <w:tc>
          <w:tcPr>
            <w:tcW w:w="6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(9,819)</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5,125</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(16,499)</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17,623</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(3,545)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549"/>
        <w:gridCol w:w="326"/>
        <w:gridCol w:w="684"/>
        <w:gridCol w:w="326"/>
        <w:gridCol w:w="961"/>
        <w:gridCol w:w="326"/>
        <w:gridCol w:w="1021"/>
        <w:gridCol w:w="326"/>
        <w:gridCol w:w="961"/>
        <w:gridCol w:w="326"/>
        <w:gridCol w:w="976"/>
        <w:gridCol w:w="326"/>
        <w:gridCol w:w="1097"/>
      </w:tblGrid>
      <w:tr>
        <w:trPr/>
        <w:tc>
          <w:tcPr>
            <w:tcW w:w="25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18615" cy="175260"/>
                      <wp:effectExtent l="0" t="0" r="0" b="0"/>
                      <wp:wrapNone/>
                      <wp:docPr id="84" name="Frame83"/>
                      <a:graphic xmlns:a="http://schemas.openxmlformats.org/drawingml/2006/main">
                        <a:graphicData uri="http://schemas.microsoft.com/office/word/2010/wordprocessingShape">
                          <wps:wsp>
                            <wps:cNvSpPr txBox="1"/>
                            <wps:spPr>
                              <a:xfrm>
                                <a:off x="0" y="0"/>
                                <a:ext cx="1618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4340" cy="175260"/>
                      <wp:effectExtent l="0" t="0" r="0" b="0"/>
                      <wp:wrapNone/>
                      <wp:docPr id="86" name="Frame85"/>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10235" cy="175260"/>
                      <wp:effectExtent l="0" t="0" r="0" b="0"/>
                      <wp:wrapNone/>
                      <wp:docPr id="88" name="Frame87"/>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335" cy="175260"/>
                      <wp:effectExtent l="0" t="0" r="0" b="0"/>
                      <wp:wrapNone/>
                      <wp:docPr id="90" name="Frame89"/>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0235" cy="175260"/>
                      <wp:effectExtent l="0" t="0" r="0" b="0"/>
                      <wp:wrapNone/>
                      <wp:docPr id="92" name="Frame9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19760" cy="175260"/>
                      <wp:effectExtent l="0" t="0" r="0" b="0"/>
                      <wp:wrapNone/>
                      <wp:docPr id="94" name="Frame9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6595" cy="175260"/>
                      <wp:effectExtent l="0" t="0" r="0" b="0"/>
                      <wp:wrapNone/>
                      <wp:docPr id="96" name="Frame95"/>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30"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jc w:val="center"/>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3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9"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(3)</w:t>
            </w: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1,120</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(1,212)</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(15,316)</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2,843</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(13,414)</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(56)</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(793)</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(14,196)</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1,631</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(13,414)</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(4,536)</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(21,646)</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26,182</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(65,832)</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(9,923)</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76,754</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41,242</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8,750</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(49,992)</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Other investing activities with group companies </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(1,040)</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(1,648)</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2,689</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(27,982)</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(23,934)</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(2,572)</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2,689</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52,944</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1,145</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4,536</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21,646</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(26,182)</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from group companies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65,832</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10,922</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(76,754)</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(41,242)</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(5,750)</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49,992</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27,827</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8,264</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2,516</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(3,416)</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35,191</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27,827</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37,390</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18,412</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4,506</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(52,944)</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35,191</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49"/>
        <w:gridCol w:w="326"/>
        <w:gridCol w:w="684"/>
        <w:gridCol w:w="326"/>
        <w:gridCol w:w="961"/>
        <w:gridCol w:w="326"/>
        <w:gridCol w:w="1021"/>
        <w:gridCol w:w="326"/>
        <w:gridCol w:w="961"/>
        <w:gridCol w:w="326"/>
        <w:gridCol w:w="976"/>
        <w:gridCol w:w="326"/>
        <w:gridCol w:w="1097"/>
      </w:tblGrid>
      <w:tr>
        <w:trPr/>
        <w:tc>
          <w:tcPr>
            <w:tcW w:w="25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18615" cy="175260"/>
                      <wp:effectExtent l="0" t="0" r="0" b="0"/>
                      <wp:wrapNone/>
                      <wp:docPr id="97" name="Frame96"/>
                      <a:graphic xmlns:a="http://schemas.openxmlformats.org/drawingml/2006/main">
                        <a:graphicData uri="http://schemas.microsoft.com/office/word/2010/wordprocessingShape">
                          <wps:wsp>
                            <wps:cNvSpPr txBox="1"/>
                            <wps:spPr>
                              <a:xfrm>
                                <a:off x="0" y="0"/>
                                <a:ext cx="1618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4340" cy="175260"/>
                      <wp:effectExtent l="0" t="0" r="0" b="0"/>
                      <wp:wrapNone/>
                      <wp:docPr id="99" name="Frame98"/>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10235" cy="175260"/>
                      <wp:effectExtent l="0" t="0" r="0" b="0"/>
                      <wp:wrapNone/>
                      <wp:docPr id="101" name="Frame100"/>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335" cy="175260"/>
                      <wp:effectExtent l="0" t="0" r="0" b="0"/>
                      <wp:wrapNone/>
                      <wp:docPr id="103" name="Frame102"/>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0235" cy="175260"/>
                      <wp:effectExtent l="0" t="0" r="0" b="0"/>
                      <wp:wrapNone/>
                      <wp:docPr id="105" name="Frame104"/>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9760" cy="175260"/>
                      <wp:effectExtent l="0" t="0" r="0" b="0"/>
                      <wp:wrapNone/>
                      <wp:docPr id="107" name="Frame10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6595" cy="175260"/>
                      <wp:effectExtent l="0" t="0" r="0" b="0"/>
                      <wp:wrapNone/>
                      <wp:docPr id="109" name="Frame108"/>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30"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For the Year Ended D</w:t>
            </w:r>
            <w:r>
              <w:rPr>
                <w:rFonts w:ascii="Times New Roman;Times;serif" w:hAnsi="Times New Roman;Times;serif"/>
                <w:b/>
                <w:sz w:val="18"/>
              </w:rPr>
              <w:t>ecember</w:t>
            </w:r>
            <w:r>
              <w:rPr>
                <w:rFonts w:ascii="Times New Roman;Times;serif" w:hAnsi="Times New Roman;Times;serif"/>
                <w:sz w:val="16"/>
              </w:rPr>
              <w:t xml:space="preserve"> </w:t>
            </w:r>
            <w:r>
              <w:rPr>
                <w:rFonts w:ascii="Times New Roman;Times;serif" w:hAnsi="Times New Roman;Times;serif"/>
                <w:b/>
                <w:sz w:val="16"/>
              </w:rPr>
              <w:t>31, 2020</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DiDi</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center"/>
              <w:rPr/>
            </w:pPr>
            <w:r>
              <w:rPr/>
              <w:t>​</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Global</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rPr/>
            </w:pPr>
            <w:r>
              <w:rPr/>
              <w:t>    </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3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549"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 xml:space="preserve">Net cash provided by (used in) inter-company transactions </w:t>
            </w:r>
            <w:r>
              <w:rPr>
                <w:rFonts w:ascii="Times New Roman;Times;serif" w:hAnsi="Times New Roman;Times;serif"/>
                <w:sz w:val="12"/>
              </w:rPr>
              <w:t>(3)</w:t>
            </w: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11,951</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(13,313)</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operating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(2,429)</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(10,629)</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13,972</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1,138</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224</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(1,067)</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1,322</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659</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1,138</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contribution to subsidiaries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(9,765)</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(1,458)</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11,223</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to group companies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(14,587)</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(1,003)</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15,590</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from group companies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24,725</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(25,725)</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Other investing activities with group companies </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(2,598)</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2,785</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investing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2,764</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(1,083)</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(3,627)</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(1,946)</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373</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(1,295)</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(1,270)</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(842)</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1,088</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(1,946)</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Capital injection from shareholders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9,765</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1,458</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(11,223)</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from group companies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14,587</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1,003</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(15,590)</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repayments to group companies</w:t>
            </w:r>
          </w:p>
        </w:tc>
        <w:tc>
          <w:tcPr>
            <w:tcW w:w="326"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(24,725)</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25,725</w:t>
            </w:r>
          </w:p>
        </w:tc>
        <w:tc>
          <w:tcPr>
            <w:tcW w:w="326" w:type="dxa"/>
            <w:tcBorders/>
            <w:shd w:fill="auto" w:val="clear"/>
            <w:vAlign w:val="center"/>
          </w:tcPr>
          <w:p>
            <w:pPr>
              <w:pStyle w:val="TableContents"/>
              <w:spacing w:before="0" w:after="0"/>
              <w:ind w:left="0" w:right="0" w:hanging="0"/>
              <w:rPr/>
            </w:pPr>
            <w:r>
              <w:rPr/>
              <w:t>​</w:t>
            </w:r>
          </w:p>
        </w:tc>
        <w:tc>
          <w:tcPr>
            <w:tcW w:w="1097" w:type="dxa"/>
            <w:tcBorders/>
            <w:shd w:fill="auto" w:val="clear"/>
            <w:vAlign w:val="center"/>
          </w:tcPr>
          <w:p>
            <w:pPr>
              <w:pStyle w:val="TableContents"/>
              <w:spacing w:before="0" w:after="0"/>
              <w:ind w:left="0" w:right="0" w:hanging="0"/>
              <w:jc w:val="right"/>
              <w:rPr/>
            </w:pPr>
            <w:r>
              <w:rPr/>
              <w:t>—</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financing activities with group companies</w:t>
            </w:r>
          </w:p>
        </w:tc>
        <w:tc>
          <w:tcPr>
            <w:tcW w:w="32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2,031</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(2,031)</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7" w:type="dxa"/>
            <w:tcBorders/>
            <w:shd w:fill="CCEEFF" w:val="clear"/>
            <w:vAlign w:val="center"/>
          </w:tcPr>
          <w:p>
            <w:pPr>
              <w:pStyle w:val="TableContents"/>
              <w:spacing w:before="0" w:after="0"/>
              <w:ind w:left="0" w:right="0" w:hanging="0"/>
              <w:jc w:val="right"/>
              <w:rPr/>
            </w:pPr>
            <w:r>
              <w:rPr/>
              <w:t>—</w:t>
            </w:r>
          </w:p>
        </w:tc>
      </w:tr>
      <w:tr>
        <w:trPr/>
        <w:tc>
          <w:tcPr>
            <w:tcW w:w="254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financing activities with external parties</w:t>
            </w:r>
          </w:p>
        </w:tc>
        <w:tc>
          <w:tcPr>
            <w:tcW w:w="326" w:type="dxa"/>
            <w:tcBorders/>
            <w:shd w:fill="auto" w:val="cle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4,605</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4,035</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9,274</w:t>
            </w:r>
          </w:p>
        </w:tc>
      </w:tr>
      <w:tr>
        <w:trPr/>
        <w:tc>
          <w:tcPr>
            <w:tcW w:w="254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spacing w:before="0" w:after="0"/>
              <w:ind w:left="0" w:right="0" w:hanging="0"/>
              <w:rPr/>
            </w:pPr>
            <w:r>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6,263</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87</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4,038</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(1,088)</w:t>
            </w:r>
          </w:p>
        </w:tc>
        <w:tc>
          <w:tcPr>
            <w:tcW w:w="326" w:type="dxa"/>
            <w:tcBorders/>
            <w:shd w:fill="CCEEFF" w:val="clear"/>
            <w:vAlign w:val="center"/>
          </w:tcPr>
          <w:p>
            <w:pPr>
              <w:pStyle w:val="TableContents"/>
              <w:spacing w:before="0" w:after="0"/>
              <w:ind w:left="0" w:right="0" w:hanging="0"/>
              <w:rPr/>
            </w:pPr>
            <w:r>
              <w:rPr/>
              <w:t>​</w:t>
            </w:r>
          </w:p>
        </w:tc>
        <w:tc>
          <w:tcPr>
            <w:tcW w:w="109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9,274</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CellMar>
          <w:top w:w="0" w:type="dxa"/>
          <w:left w:w="0" w:type="dxa"/>
          <w:bottom w:w="0" w:type="dxa"/>
          <w:right w:w="0" w:type="dxa"/>
        </w:tblCellMar>
      </w:tblPr>
      <w:tblGrid>
        <w:gridCol w:w="340"/>
        <w:gridCol w:w="9865"/>
      </w:tblGrid>
      <w:tr>
        <w:trPr/>
        <w:tc>
          <w:tcPr>
            <w:tcW w:w="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service charge under a series of commercial agreements at the consolidation level.</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balances and investment among DiDi Global Inc., other subsidiaries, primary beneficiaries of VIEs and VIEs and VIEs’ subsidiaries. The carrying amounts of investments in subsidiaries and VIEs for their share of cumulative losses were reduced to nil as of December 31, 2021 and 2022, respectively and the carrying amounts of “amounts due from group companies” were further adjusted. As of December 31, 2021 and 2022, there were no balances for service fees charged to VIEs pursuant to each exclusive business cooperation agreement with the VIEs.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2020, 2021, and 2022, cash paid by VIEs to subsidiaries under a series of commercial agreements mainly including technical service fees, were RMB13,313 million, RMB1,212 million and RMB7,570 million, respectively. For the years ended December 31, 2020, 2021 and 2022, no service fees were paid by the VIEs to our PRC subsidiaries pursuant to each exclusive business cooperation agreement with the VIEs.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Transfers of Cash within DiDi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cash transfers that have occurred between our subsidiaries and the VIEs:</w:t>
      </w:r>
    </w:p>
    <w:tbl>
      <w:tblPr>
        <w:tblW w:w="10205" w:type="dxa"/>
        <w:jc w:val="left"/>
        <w:tblInd w:w="0" w:type="dxa"/>
        <w:tblCellMar>
          <w:top w:w="0" w:type="dxa"/>
          <w:left w:w="0" w:type="dxa"/>
          <w:bottom w:w="0" w:type="dxa"/>
          <w:right w:w="0" w:type="dxa"/>
        </w:tblCellMar>
      </w:tblPr>
      <w:tblGrid>
        <w:gridCol w:w="6903"/>
        <w:gridCol w:w="326"/>
        <w:gridCol w:w="793"/>
        <w:gridCol w:w="326"/>
        <w:gridCol w:w="690"/>
        <w:gridCol w:w="326"/>
        <w:gridCol w:w="841"/>
      </w:tblGrid>
      <w:tr>
        <w:trPr/>
        <w:tc>
          <w:tcPr>
            <w:tcW w:w="69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3405" cy="175260"/>
                      <wp:effectExtent l="0" t="0" r="0" b="0"/>
                      <wp:wrapNone/>
                      <wp:docPr id="110" name="Frame109"/>
                      <a:graphic xmlns:a="http://schemas.openxmlformats.org/drawingml/2006/main">
                        <a:graphicData uri="http://schemas.microsoft.com/office/word/2010/wordprocessingShape">
                          <wps:wsp>
                            <wps:cNvSpPr txBox="1"/>
                            <wps:spPr>
                              <a:xfrm>
                                <a:off x="0" y="0"/>
                                <a:ext cx="4383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3555" cy="175260"/>
                      <wp:effectExtent l="0" t="0" r="0" b="0"/>
                      <wp:wrapNone/>
                      <wp:docPr id="112" name="Frame111"/>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38150" cy="175260"/>
                      <wp:effectExtent l="0" t="0" r="0" b="0"/>
                      <wp:wrapNone/>
                      <wp:docPr id="114" name="Frame113"/>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34035" cy="175260"/>
                      <wp:effectExtent l="0" t="0" r="0" b="0"/>
                      <wp:wrapNone/>
                      <wp:docPr id="116" name="Frame11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90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7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90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6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690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7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69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by the VIEs to our subsidiaries under a series of commercial agreements</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(13,313)</w:t>
            </w:r>
          </w:p>
        </w:tc>
        <w:tc>
          <w:tcPr>
            <w:tcW w:w="326"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(7,570)</w:t>
            </w:r>
          </w:p>
        </w:tc>
      </w:tr>
      <w:tr>
        <w:trPr/>
        <w:tc>
          <w:tcPr>
            <w:tcW w:w="6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received by the VIEs from our subsidiaries for inter-company investing activities</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326" w:type="dxa"/>
            <w:tcBorders/>
            <w:shd w:fill="auto" w:val="clear"/>
            <w:vAlign w:val="center"/>
          </w:tcPr>
          <w:p>
            <w:pPr>
              <w:pStyle w:val="TableContents"/>
              <w:spacing w:before="0" w:after="0"/>
              <w:ind w:left="0" w:right="0" w:hanging="0"/>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r>
      <w:tr>
        <w:trPr/>
        <w:tc>
          <w:tcPr>
            <w:tcW w:w="69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by the VIEs to our subsidiaries for inter-company financing activities</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(17,812)</w:t>
            </w:r>
          </w:p>
        </w:tc>
      </w:tr>
      <w:tr>
        <w:trPr/>
        <w:tc>
          <w:tcPr>
            <w:tcW w:w="6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received by the VIEs from our subsidiaries for inter-company financing activities</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26" w:type="dxa"/>
            <w:tcBorders/>
            <w:shd w:fill="auto" w:val="clear"/>
            <w:vAlign w:val="center"/>
          </w:tcPr>
          <w:p>
            <w:pPr>
              <w:pStyle w:val="TableContents"/>
              <w:spacing w:before="0" w:after="0"/>
              <w:ind w:left="0" w:right="0" w:hanging="0"/>
              <w:rPr/>
            </w:pPr>
            <w:r>
              <w:rPr/>
              <w:t> </w:t>
            </w:r>
          </w:p>
        </w:tc>
        <w:tc>
          <w:tcPr>
            <w:tcW w:w="6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1,950</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in the United States. On December 16, 2021, the PCAOB issued a report to notify the SEC of its determination that the PCAOB was unable to inspect or investigate completely registered public accounting firms headquartered in mainland China and Hong Kong, including our auditor. In June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our securities would become subject to the prohibition on trading under the HFCAA.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ADSs may be prohibited from trading in the United States under the HFCAA in the future if the PCAOB is unable to inspect or investigate completely auditors located in China. A prohibition on trading, or the threat of a prohibition on trading, may materially and adversely affect the value of your investment.”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[reserved]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An investment in our ADSs involves significant risks. You should carefully consider all of the information in this annual report,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Relating to Our Business and Industry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attract or retain consumers, our platform will become less appealing to drivers and businesses, and our business and financial results may be materially and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in a given geographic market significantly depends on our ability to maintain or increase the scale of our network in that geographic market by attracting riders and other consumers to our platform and by keeping them engaged on our platform. If riders choose to use other mobility services, we may not generate sufficient opportunities for drivers to earn competitive income, which may reduce the perceived utility of our platform. An insufficient supply of consumers would decrease our network activity and adversely affect our revenues and financial results. If our service quality diminishes or our competitors’ services and products achieve greater market adoption, we might lose consumers to our competitors, which may diminish our network effect.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number of consumers on our platform or how often they use our platform could materially decline or fluctuate as a result of many factors. Negative publicity related to our brand, including as a result of safety incidents, may cause the number of our consumers to decline, as may dissatisfaction with one or more aspects of the operation our platform, including the price of fares, the quality of service provided by drivers, the quality of user support, the treatment of drivers, or our service and product offerings in general. Activity on our platform may also fluctuate due to seasonality. In addition, if we are unable to provide effective support to consumers or respond to reported incidents, including safety incidents, in a timely and appropriate manner, our ability to attract and retain consumers could be adversely affected. If riders and other consumers do not establish or maintain active accounts with us, if we fail to provide high-quality support and services, or if we cannot otherwise attract and retain a large number of riders and other consumers, our revenues would decline significantly.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attract or retain drivers, our platform will become less appealing to consumers, and our business and financial results may be materially and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in a given geographic market significantly depends on our ability to maintain or increase the scale of our network in that geographic market by attracting and retaining drivers on our platform. We have experienced and expect to continue to experience driver supply constraints in certain geographic markets in which we operate. To the extent that we experience driver supply constraints in a given market, we may need to increase or may not be able to reduce the driver incentives that we offer without adversely affecting the liquidity network effect that we experience in that market.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number of drivers on our platform or how often they use our platform could materially decline or fluctuate as a result of a number of factors, including laws and regulations limiting our service and product offerings in the markets in which we operate, dissatisfaction with our brand or reputation, pricing model (including potential reductions in incentives), ability to prevent safety incidents, the availability of competing platforms, or other aspects of our business. We take measures to help increase safety, prevent privacy and security breaches, and protect against fraud which may make our platform less convenient or accessible for some drivers and discourage or diminish their use of our platform. Any reduction in the number or availability of drivers would likely lead to a reduction in platform usage by consumers, which in turn would make our platform less attractive to drivers. Any decline in the number of drivers or consumers using our platform would reduce the value of our network and would harm our future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means we use to onboard and attract drivers may be challenged by competitors, government regulators, or individual plaintiffs. We may use third party service providers to recruit drivers for our platform and we cannot ensure that the advertisements they use are in strict compliance with advertising and other laws and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changes in driver qualification and background check requirements may increase our costs and reduce our ability to onboard additional drivers to our platform. Our driver qualification and background check procedure varies by jurisdiction. Any changes in the legal requirements for the qualification, screening, and background check procedure could reduce the number of drivers in those markets or extend the time required to recruit new drivers to our platform, which would adversely impact our business and growth.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operations in China and 15 other countries through our platforms or our partnerships across the world as of December 31, 2022. We are subject to differing and sometimes conflicting laws and regulations in the various jurisdictions where we provide our offerings. As the shared mobility industry is still at a relatively early stage of development, new laws and regulations may be adopted from time to time to address new issues that come to the authorities’ attention. For example, on September 7, 2021, the General Office of the Ministry of Transport of the PRC promulgated the Notice on Maintaining Fair Competition Market Order and Accelerating the Standardization of Online Ride Hailing, which provides that the local transportation departments should urge the online ride hailing platform enterprises to operate in accordance with laws and regulations and such enterprises shall accelerate the clearance of non-compliant drivers and vehicles on their platforms. In addition, any illegal and irregular behavior such as low-price dumping, big data-enabled price discrimination against existing customers and inducement of fraud will be strictly punished in order to maintain a fair and competitive market. In addition, since certain existing laws and regulations governing our business activities were recently promulgated, how they will be interpreted or implemented depends on the implementation rules to be promulgated by the relevant regulators. If we fail to comply with these new regulatory requirements, we may be subject to new legal risks. For example, we generally treat drivers as independent contractors, but that determination may be challenged. See “—Our business would be adversely affected if drivers were classified as employees, workers or quasi-employees”. A large number of proposals are before various national, regional, and local legislative bodies and regulatory entities regarding issues related to our industry or our business model. As we expand into new cities or countries or as we add new products and services to our platform, we may become subject to additional laws and regulations that we are not subject to now. Existing or new laws, regulations and regulatory policies are being continuously amended and improved, and the interpretation and implementation of newly established policies may remain uncertain, which could expose us to substantial liability, including expenses necessary to comply with such laws and regulations, and could dampen the growth and usage of our platform, which could adversely affect our business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or drivers or vehicles on our platform fail to obtain and maintain the licenses, permits or approvals required by the jurisdictions where we operate, our business, financial condition and results of operations may be materially and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mobility industry is highly regulated in many jurisdictions. However, considerable uncertainties exist with respect to the applicability of existing licensing requirements to our business activities. We or drivers or vehicles on our platform may be required to obtain licenses, permits or approvals that we or they currently do not possess, and we cannot assure you that we or they will be able to timely obtain or maintain all the required licenses, permits or approvals or make all the necessary filings in the future. For example, we are required to obtain ride hailing business permits in the cities in China and in certain other jurisdictions where we operate our ride hailing business. In addition, specific licenses and permits are also required for drivers and vehicles on our platform engaged in ride hailing business in China, subject to satisfaction of certain conditions. See “Item 4. Information on the Company—B. Business Overview—Regulation—PRC Regulations—Regulation Relating to Online Ride Hailing Services” for a description of the required licenses and permits. We have had administrative penalties imposed on us for these types of non-compliance and we cannot assure you that we will not be subject to further fines, penalties or more severe administrative actions or proceedings in the future. If we or drivers or vehicles on our platform fail to obtain or maintain any required licenses, permits or approvals or make any necessary filings in a timely matter or at all, we may be subject to a variety of penalties, including fines or potentially being forced to suspend, terminate or significantly reduce our operations in the city or jurisdiction. Any such penalties may disrupt our business operations and materially and adversely affect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receive, transmit and store personally identifiable information and other data on our platform, and we are subject to numerous laws and regulations that address privacy, data protection and the collection, storing, sharing, use, disclosure and protection of certain types of data in various jurisdictions.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PRC government has proposed or promulgated a number of new measures and regulations in recent years regarding cybersecurity and data security, such as the Cybersecurity Law promulgated by the Standing Committee of the National People’s Congress in November 2016, which came into effect in June 2017, the Data Security Law promulgated by the Standing Committee of the National People’s Congress in June 2021 , which came into effect in September 2021, the Personal Information Protection Law promulgated by the Standing Committee of the National People’s Congress in August 2021, effective in November 2021. For details of such PRC laws and regulations, see “Item 4. Information on the Company—B. Business Overview—Regulation—PRC Regulations—Regulations Relating to Cybersecurity and Information Security” and “Item 4. Information on the Company—B. Business Overview—Regulation—PRC Regulations—Regulations Relating to Privacy Protection”.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28, 2021, the CAC, together with certain other PRC governmental authorities, promulgated the Revised Cybersecurity Review Measures, which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Article 10 of the Revised Cybersecurity Review Measures also set out certain national security risk factors to be considered and assessed under the cybersecurity review. See “Item 4. Information on the Company—B. Business Overview—Regulation—PRC Regulations—Regulations on Cybersecurity and Information Security.” As of the date of this annual report, no regulator has promulgated any detailed implementation rules, the specific scope of “operators of critical information infrastructure” remains unclear and the specific rules regarding whether an activity “will or may affect national security” have not yet been promulgated. As such, how the Revised Cybersecurity Review Measures will be interpreted or implemented depends on the implementation rules to be promulgated by the relevant regulators. If we fail to comply with these new regulatory requirements, we may be subject to new legal risks. These regulatory developments impose more specific and comprehensive requirements with respect to data security and privacy protection. We are expected to closely monitor regulatory developments and take any necessary measures in a timely manner to protect user privacy and data security. For example, in order to comply with new regulatory requirements, we have taken the following internal measures after the promulgation of these new laws and regulations: (i) upgrading our relevant internal departments regarding protection of information and data security; (ii) supplementing and refining our policies for data security and personal information protection; (iii) enhancing our assessment and approval procedures for data processing activities, and making personal information protection assessments regarding processing of sensitive information; (iv) refining our mechanism for responding to user rights requests to assure a timely and adequate response; and (v) further enhancing our technical measures for data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November 14, 2021, the CAC promulgated the draft Regulations on the Administration of Cyber Data Security for public comment, pursuant to which data processors conducting the following activities must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In the event that this draft were promulgated in its current form, if we are required to apply for a new cybersecurity review and if we are unable to complete such review, our business operations may be materially and adversely impacted.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the draft Regulations on the Administration of Cyber Data Security set out a full set of compliance requirements with respect to the processing of important data and impose regulatory requirements on the governance of internet platform operators’ data. Since our mobility services may involve the collection and usage of important data, if this draft is finalized in its current form, we would need to enhance our internal data governance to comply with the relevant compliance requirements. These laws, rules or regulations, together with the relevant rules promulgated by the CSRC regarding overseas listing by PRC domestic companies, may further affect our business and any future securities offerings given factors such as our various networks, platforms, types of data collected, number of users, among others. See “Item 3. Key Information—D. Risk Factors—Risks Relating to Doing Business in China—We may be required to obtain approval or subject to filing or other requirements from the CSRC or other PRC governmental authorities for any future listing or other financing activities” for more details regarding the relevant rules promulgated by the CSRC regarding overseas listing by PRC domestic companies.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meantime, the PRC regulatory authorities have also enhanced the supervision and regulation of cross-border data transmission. For example, on July 7, 2022, the CAC promulgated the Measures for the Security Assessment of Cross-Border Data Transfer, which took effect on September 1, 2022. These measures require a data processor providing data to overseas recipients and falling under any of the specified circumstance to apply for a security assessment of cross-border data transfer by the national cybersecurity authority through its local counterpart.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incurred, and will continue to incur, significant expenses in our efforts to comply with cybersecurity and information security standards and protocols imposed by law, regulation, industry standards or contractual obligations. Changes in existing laws or regulations or adoption of new laws and regulations relating to cybersecurity and information security, particularly any new or modified laws or regulations that require enhanced protection of certain types of data or new obligations with regard to data retention, transfer or disclosure, could greatly increase the cost to us of providing our service offerings, or require significant changes to our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regulatory authorities have the power, based on statutes and regulations, to carry out inspections or cybersecurity reviews of us. If any of our behavior has violated statutes or regulations, we may incur heavy fines or negative publicity, and we may need to change our business practices, which may increase our expenses and materially affect our business, prospects, financial condition and operational results. For example, in accordance with the requirements of the PRC Cybersecurity Law, a cyberspace operator or a cyberspace product or service provider which infringes upon the legal rights of individuals’ personal information in violation of the relevant provisions under the Cybersecurity Law may be ordered by a competent authority to make rectifications, and depending on the seriousness of the case, it may be subject to warnings, confiscation of illegal gains, and/or monetary fines. In serious cases, the competent authorities may require us to suspend operations, shut down our websites and apps or revoke our business permits and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were subject to cybersecurity review in China. See “Item 8. Financial Information—A. Consolidated Statements and Other Financial Information—Legal and Administrative Proceedings” for more details. In addition, if in the future, we are subject to business restrictions resulting from new regulatory reviews, or if we violate any PRC statutes or regulations and incur any penalty or punishment, the growth or use of our platform in China may decline, which would have a material adverse effect on our company’s business, financial condition,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Despite our efforts to comply with applicable laws, regulations and other obligations relating to privacy, data protection and information security, we cannot assure you that our practices, offerings or platform meet all of the requirements imposed on us by such laws, regulations or obligations. Any failure on our part to comply with applicable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drivers, riders and other users from using our platform or result in investigations, fines, suspension of one or more of our apps, or other penalties by government authorities and private claims or litigation, any of which could materially adversely affect our business, financial condition and results of operations. If there is a perception of privacy concerns, it may harm our reputation and brand and adversely affect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fail to ensure the safety of consumers and drivers, our business, results of operations and financial condition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heavily on our ability to maintain a high level of safety of our services, as well as the public perception of the level of safety on our platform to attract and retain consumers and drivers. In the past, there have been safety incidents on our platform, such as injuries or deaths caused by traffic accidents or crimes committed by drivers or riders while they were using our services or products. These cases have attracted public attention, harmed our reputation, invited government scrutiny, and led to demands for restrictions to be placed on our business or the shared mobility industry more generally. We emphasize the importance of safety in our business and have implemented various methods to ensure the safety of riders and drivers. For example, after two riders were killed in separate incidents in 2018 when they were using our hitch service, we suspended that service for over a year until we could develop protocols and procedures to better protect the riders and drivers who participate in it. More generally, we have enhanced our driver screening and background check procedures to better identify and screen out those who have criminal records or records of safety incidents, and where permitted by local laws, we have installed video cameras in ride hailing vehicles as a safety measure. Although the rate of safety incidents on our platform has declined, incidents still occur from time to time, including serious incidents. Our screening procedures may fail, or the databases on which we rely to identify past problematic behavior may be incorrect or incomplete, or safety incidents may be caused by drivers or riders with no past history of problematic behavior. Deaths or injuries, whether the result of accidents or crimes, may have an impact on public perception that is disproportionate to their statistical likelihood compared to other means of transportation. Furthermore, public perception and regulatory scrutiny of the safety of ride hailing or other shared mobility services in general may be influenced by safety incidents that occur on other platforms unrelated to ours, which may divert our management’s time and attention from our business operations and adversely impact our reputation. In addition, we may be involved and found liable in lawsuits claiming for damages caused by safety incidents on our platform from time to time, which may generate negative publicity and be costly and time-consuming. In the event that we are not able to prevent or mitigate safety incidents, our business, results of operations and financial condition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Maintaining and enhancing our brand and reputation is critical to our business prospects. We have been subject to negative publicity at various times, and failure to maintain our brand and reputation will cause our business to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Maintaining and enhancing our brand and reputation is critical to our ability to attract new consumers, drivers and partners to our platform, to preserve and deepen the engagement of our existing consumers, drivers and partners and to mitigate the risk of legislative or regulatory scrutiny, litigation, government investigations and adverse public sentiment. Negative publicity, whether or not justified, can spread rapidly through social media. To the extent that we are unable to respond timely and appropriately to negative publicity, our reputation and brand can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received negative media coverage in the past which has adversely affected our brand and reputation and fueled distrust of our company, in particular, the killing of two riders using our hitch service in separate incidents in 2018. We have also received significant negative publicity since our initial public offering closed at the beginning of July 2021, relating to our decision to list our ADSs on the New York Stock Exchange, or the NYSE, and to investigations of our data security measures. This and other negative publicity we have faced in the past from time to time has adversely affected our brand and reputation. Negative publicity makes it more difficult for us to attract and retain consumers, reduces confidence in and use of our products and offerings, invites legislative and regulatory scrutiny, and results in litigation and governmental investigations.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brand and reputation might also be harmed by events that do not occur on our platform. For example, we may be associated with the actions of DiDi drivers even at times when they are not performing services on our platform. If drivers on our platform are involved in accidents or other incidents or otherwise violate the law, we may receive unfavorable press coverage and our reputation and business may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successful maintenance of our brand will depend largely on maintaining a good reputation, minimizing the number of safety incidents, maintaining a high quality of service, and continuing our marketing and public relations efforts. Our brand promotion, reputation building, and media strategies have involved significant costs and may not be successful. If we fail to successfully maintain our brand in the current or future competitive environment, our brand and reputation would be further damaged and our business may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incurred significant losses since inception, and we may not achieve or maintain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incurred net losses for each fiscal year since our inception. We incurred losses from operations of RMB13.8 billion, RMB48.4 billion and RMB17.8 billion (US$2.6 billion) in 2020, 2021 and 2022. We may not be able to achieve or maintain profitability in the future. Our expenses will likely increase in the future as we develop and launch new offerings and technologies, expand in existing and new markets, and continue to invest in our platform. These efforts may be more costly than we expect and may not result in increased revenues or growth in our business. Any failure to increase our revenues sufficiently to keep pace with our investments and other expenses could prevent us from achieving or maintaining profitability or positive operating cash flow on a consistent basis. If we are unable to successfully address these risks and challenges as we encounter them, our business, financial condition and results of operations could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limited operating history and our evolving business make it difficult to evaluate our future prospects and the risks and challenges we may encounter.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offered taxi hailing services since 2012 and ride hailing services since 2014, and our business continues to evolve. For example, we began to develop autonomous driving solutions in 2016 and launched our energy and vehicle services in 2018. We also began expanding outside of China in 2018 and introduced bike and e-bike sharing services in China during the same year. We regularly introduce new platform features, offerings, services and pricing methodologies. Our limited operating history and evolving business make it difficult to evaluate our future prospects and the risks and challenges we may encounter. These risks and challenges include our ability to:</w:t>
      </w:r>
    </w:p>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revenues and budget for and manage our expenses;</w:t>
            </w:r>
          </w:p>
        </w:tc>
      </w:tr>
    </w:tbl>
    <w:tbl>
      <w:tblPr>
        <w:tblW w:w="8856" w:type="dxa"/>
        <w:jc w:val="left"/>
        <w:tblInd w:w="0" w:type="dxa"/>
        <w:tblCellMar>
          <w:top w:w="28" w:type="dxa"/>
          <w:left w:w="28" w:type="dxa"/>
          <w:bottom w:w="28" w:type="dxa"/>
          <w:right w:w="28" w:type="dxa"/>
        </w:tblCellMar>
      </w:tblPr>
      <w:tblGrid>
        <w:gridCol w:w="124"/>
        <w:gridCol w:w="256"/>
        <w:gridCol w:w="8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drivers and consumers and retain existing drivers and consumers in a cost-effective manner;</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laws and regulations applicable to our business;</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436" w:type="dxa"/>
        <w:jc w:val="left"/>
        <w:tblInd w:w="0" w:type="dxa"/>
        <w:tblCellMar>
          <w:top w:w="28" w:type="dxa"/>
          <w:left w:w="28" w:type="dxa"/>
          <w:bottom w:w="28" w:type="dxa"/>
          <w:right w:w="28" w:type="dxa"/>
        </w:tblCellMar>
      </w:tblPr>
      <w:tblGrid>
        <w:gridCol w:w="124"/>
        <w:gridCol w:w="256"/>
        <w:gridCol w:w="5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bl>
    <w:tbl>
      <w:tblPr>
        <w:tblW w:w="3066" w:type="dxa"/>
        <w:jc w:val="left"/>
        <w:tblInd w:w="0" w:type="dxa"/>
        <w:tblCellMar>
          <w:top w:w="28" w:type="dxa"/>
          <w:left w:w="28" w:type="dxa"/>
          <w:bottom w:w="28" w:type="dxa"/>
          <w:right w:w="28" w:type="dxa"/>
        </w:tblCellMar>
      </w:tblPr>
      <w:tblGrid>
        <w:gridCol w:w="124"/>
        <w:gridCol w:w="256"/>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expand our geographic reach and overcome challenges particular to new geographical markets;</w:t>
            </w:r>
          </w:p>
        </w:tc>
      </w:tr>
    </w:tbl>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 and</w:t>
            </w:r>
          </w:p>
        </w:tc>
      </w:tr>
    </w:tbl>
    <w:tbl>
      <w:tblPr>
        <w:tblW w:w="9171" w:type="dxa"/>
        <w:jc w:val="left"/>
        <w:tblInd w:w="0" w:type="dxa"/>
        <w:tblCellMar>
          <w:top w:w="28" w:type="dxa"/>
          <w:left w:w="28" w:type="dxa"/>
          <w:bottom w:w="28" w:type="dxa"/>
          <w:right w:w="28" w:type="dxa"/>
        </w:tblCellMar>
      </w:tblPr>
      <w:tblGrid>
        <w:gridCol w:w="124"/>
        <w:gridCol w:w="256"/>
        <w:gridCol w:w="8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develop new platform features, offerings and services to enhance the experience of consumers.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fail to address the risks and difficulties that we face,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making investments in new offerings and technologies, and expect to continue such investments in the future. These new initiatives are inherently risky, and we may not realize the expected benefits from them.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made substantial investments to develop new offerings and technologies, including electric vehicles and autonomous driving, and we intend to continue investing significant resources in developing new technologies, services, products and offerings. For example, we believe that electric vehicles will be an important part of our offerings over the long term, and we have partnered with a leading electric vehicle manufacturer and made significant investments in the development of our electric vehicle, the D1. Similarly, we have incurred significant research and development expenses for the development of autonomous driving technologies. We may increase our investments in these new initiatives in the near term. If we do not spend our development budget efficiently on commercially successful and innovative technologies, we may not realize the expected benefits of our strategy. Our new initiatives also have a high degree of risk, as each involves newly emerging industries and unproven business strategies and technologies with which we may have limited or no prior development or operating experience. Because such offerings and technologies are new, they will likely involve expenses, regulatory challenges, and other risks, some of which we do not currently anticipate. There can be no assurance that demand for such initiatives will exist or be sustained at the levels that we anticipate, or that any of these initiatives will gain sufficient traction or market acceptance to generate sufficient revenues to offset any new expenses or liabilities associated with these new investments. It is also possible that service and product offerings developed by others will render our service and product offerings non-competitive or obsolete. Further, our development efforts with respect to new products, offerings and technologies could distract management from current operations, and will divert capital and other resources from our more established products, offerings and technologies. Even if we are successful in developing new products, offerings or technologies, regulatory authorities may subject us to new rules or restrictions in response to our innovations that could increase our expenses or prevent us from successfully commercializing new products, offerings or technologies. If we do not realize the expected benefits of our investments, our business, financial condition, operating results, and prospects may be harmed.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shared mobility industry is highly competitive, and we may be unable to compete effectively.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industry is highly competitive. We face significant competition from existing, well-established, and low-cost alternatives, and in the future we expect to face competition from new market entrants. In addition, within each of the markets where we offer our services, the cost to switch between service providers is low. Consumers have a propensity to shift to the lowest-cost or highest-quality provider, and drivers have a propensity to shift to the platform with the highest earnings potential. As we and our competitors introduce new products and services, and as existing services and products evolve, we expect to become subject to additional competition. In addition, our competitors may adopt features of our offerings, which would reduce our ability to differentiate our offerings from those of our competitors, or they may adopt innovations that drivers and consumers value more highly than ours, which would render our offerings less attractive.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markets in which we compete have attracted significant investments from a wide range of funding sources. Certain of our shareholders have made substantial investments in companies that compete with us. Some of our competitors are subsidiaries or affiliates of large global companies which may subsidize their losses or provide them with additional resources to compete with us. As a result, many of our competitors are well capitalized and have the resources to offer discounted services, driver incentives and consumer promotions, as well as to develop innovative offerings and alternative pricing models which may be more attractive to consumers than those that we offer.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some of our current or potential competitors have, and may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the benefit of any regulatory or governmental approvals and litigation victories we may achieve, without having to incur the costs we have incurred to obtain such benefits.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all of these reasons, we may not be able to compete successfully against our current and future competitors. Our inability to compete effectively would harm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introduce or manage new or upgraded services, products or technologies that drivers and consumers recognize as valuable, we may fail to retain and attract drivers and consumers to our platform and our operating results would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continue to attract and retain drivers and consumers to our platform, we have invested and will need to continue to invest in the development of new or upgraded services, products and technologies that add value for them and that differentiate us from our competitors, such as the various service offerings that are included in or may be added to our Other Initiatives segment. Developing and delivering these new or upgraded services, products, and technologies is costly, and the success of such services, products, and technologies depends on several factors, including the timely completion, introduction, government regulation and market acceptance of such services, products, and technologies. Moreover, any such new or upgraded services, products, or technologies may not work as intended or may not provide the intended value to drivers or consumers, whatever that may be. In addition, we may not be able to provide upgrades at all if app stores are prohibited from allowing our apps to be downloaded. If we are unable to continue to develop or manage new or upgraded services, products and technologies, or if drivers or consumers do not value them or perceive the benefit in them, then drivers or consumers may choose not to use our platform, which would adversely affect our operating results. In addition, we may also lose our investments in connection with our development of these new or upgraded services, products and technologies. For example, we acquire assets necessary for some of our new or upgraded services, such as bikes and e-bikes, which constituted the largest component of our property and equipment, net, in the ordinary course of our business. We have incurred, and in the future may incur, additional impairment charges, asset write-offs and/or other losses related to these assets, based in part on our management’s judgment in light of new and evolving business developments from time to time. For example, we incurred an impairment charge on bikes and e-bikes of RMB2.2 billion during the third quarter of 2021 which was mainly caused by the adverse change in the operating and financial performance of our bike and e-bike sharing business. Our financial condition and results of operations may be materially adversely affected if we are unable to introduce or manage new or upgraded services, products and technologies or if we lose our investments in connection with development of these services, products and technologies.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Adverse litigation judgments or settlements resulting from legal proceedings or investigations in which we may be involved could expose us to monetary damages or limit our ability to operate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regularly subject to various types of legal proceedings by drivers, consumers, employees, commercial partners, competitors, and government agencies, among others,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we prepared for our June 30, 2021 initial public offering contained material misstatements and omissions in violation of the Securities Act of 1933, the Securities Exchange Act of 1934 and Rule 10b-5 promulgated thereunder. Separately, in December 2021, we and certain of our officers and directors were named as defendants in a putative securities class action filed in state court in New York, which similarly alleges that the registration statement and prospectus we prepared for our initial public offering contained material misstatements and omissions. Both the consolidated federal action and the state court action remain in their preliminary stages. We intend to vigorously defend ourselves against these claims.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were subject to cybersecurity review in China. We were required to suspend new user registration in China and 26 of the apps we are operating in China were taken down from app stores. In the past year, we fully cooperated with the PRC government authorities on the cybersecurity review and rectification measures. On January 16, 2023, as approved by the Cybersecurity Review Office, we have resumed DiDi Chuxing’s registration of new users. See “Item 8. Financial Information—A. Consolidated Statements and Other Financial Information—Legal and Administrative Proceedings” for more details.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results of any such litigation, investigations and legal proceedings are inherently unpredictable, and defending against them is expensive. Any claims against us, whether meritorious or not, could be time consuming, costly, and harmful to our reputation, and could require significant amounts of management time and corporate resources. If any of these legal proceedings were to be determined adversely to us, or we were to enter into a settlement arrangement, we could suffer monetary damages or be forced to change the way in which we operate our business, which could have an adverse effect on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required to defend or insure against product liability claims.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automobile industry generally experiences significant product liability claims. We face the risk of such claims in the event our D1 electric vehicle or any future electric vehicles we may develop do not perform or are claimed to not have performed as expected. Our vehicles may be involved in accidents resulting in death or personal injury, and such accidents where advanced driver-assistance systems are engaged are the subject of significant public attention. We may experience claims arising from or related to misuse or claimed failures of such new technologies that we are pioneering and using. For example, the battery packs that we use in our electric vehicles and e-bikes use lithium-ion cells that may, under rare circumstances, ignite nearby materials or other lithium-ion cells. Furthermore, we may face the risk of product liability claims by consumers in connection with our bike and e-bike sharing services as well. Any product liability claim may subject us to lawsuits and substantial monetary damages, product recalls or redesign efforts, and even a meritless claim may require us to defend it, all of which may generate negative publicity and be expensive and time-consuming.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generally do not purchase third-party insurance to protect us against the risk of product liability claims, meaning that any successful product liability claims against us will likely have to be paid from our own funds, rather than by insurance.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Illegal, improper or otherwise inappropriate activity of drivers, consumers or other users, whether or not occurring while utilizing our platform, could expose us to liability and harm our business, brand,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Illegal, improper or otherwise inappropriate activities by drivers, consumers or other users, including the activities of individuals who may have previously engaged with our platform but are not then receiving or providing services offered through it, or individuals who are intentionally impersonating users of our platform, could adversely affect our brand, business, financial condition and results of operations. These activities may include assault, abuse, theft and other misconduct. While we have implemented various measures intended to anticipate, identify and address the risk of these types of activities, these measures may not adequately address or prevent all illegal, improper or otherwise inappropriate activity by these parties. Such conduct could expose us to liability or adversely affect our brand or reputation. At the same time, if the measures we have taken to guard against these illegal, improper or otherwise inappropriate activities are too restrictive and inadvertently prevent or discourage drivers, consumers or other users from remaining engaged on our platform, or if we are unable to implement and communicate these measures fairly and transparently or are perceived to have failed to do so, the growth and retention of the number of drivers, consumers and other users on our platform and their utilization of our platform could be negatively impacted. Further, any negative publicity related to the foregoing, whether such incident occurred on our platform or on our competitors’ platforms, could adversely affect our reputation and brand or public perception of ride hailing and other mobility services in general, which could negatively affect demand for platforms like ours, and potentially lead to increased regulatory or litigation exposure. Any of the foregoing risks could harm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fail to effectively manage our growth or implement our business strategies across our multiple segments, our business and results of operations may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our inception, we have experienced rapid growth in our business, the number of drivers and consumers on our platform and our geographic reach, and we expect to continue to experience growth in the future. We have operations in China and 15 other countries through our platforms or our partnerships across the world as of December 31, 2022.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Continued growth could strain our ability to develop and improve our operational, financial and management controls, enhance our reporting systems and procedures, recruit, train and retain highly skilled personnel and maintain user satisfaction. Additionally, if we do not effectively manage the growth of our business and operations, the quality of our offerings could suffer, which could negatively affect our reputation and brand, business, financial condition and results of operations. Our growth strategies may evolve and change from time to time. For instance, some of the businesses in our International segment, including in Latin America, and in our Other Initiatives segment are developing rapidly, and therefore we may decide to accelerate our investment and increase our spend in such businesses based on dynamic and constantly changing market conditions. If such increased investments and spend do not lead to the growth of our business as planned, our results of operations and financial condition may be materially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To remain competitive in certain markets, we may continue to offer driver incentives and consumer discounts, which may adversely affect our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remain competitive in certain markets and generate network scale and liquidity, we sometimes lower fares or service fees, offer significant driver incentives and offer other consumer discounts and promotions. We may engage in these practices to try to gain a leading position in a market or to try to protect a leading position against competitors. We may continue to offer these discounts and incentives on a large scale for an indefinite period of time if we feel it is necessary. We cannot assure you that these practices would be successful in achieving their goals of attracting or maintaining the engagement of drivers and consumers, or that the positive impact of achieving those goals would outweigh the negative impact of these practices on our financial performance. 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invested, and we expect to continue to invest, substantial amounts in autonomous driving technologies. We believe that autonomous driving will be instrumental in further reducing the costs of mobility and will help us achieve the ultimate standards in transportation safety. However, the development of such technology is expensive and time-consuming and may not be successful. Several other companies around the world are also developing autonomous driving technologies, and we expect that they will use such technology to further compete with us in the mobility industry. In the event that our competitors bring autonomous vehicles to market before we do, or their technology is or is perceived to be superior to ours, they may be able to leverage such technology to compete more effectively with us, which would adversely impact our financial performance and our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Autonomous driving technologies involve significant risks and liabilities. The safety of such technologies depends in part on rider interaction and riders who may not be accustomed to using or adapting to such technologies, as well as other drivers on the roadways. Failures of our autonomous driving technologies or crashes involving autonomous vehicles using our technology would generate substantial liability for us, create additional negative publicity about us, or result in regulatory scrutiny, all of which would have an adverse effect on our reputation, brand, business, prospects,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expect that governments will develop regulations that are specifically designed to apply to autonomous vehicles. These regulations could include requirements that significantly delay or narrowly limit the commercialization of autonomous vehicles, limit the number of autonomous vehicles that we can manufacture or use on our platform, or impose significant liabilities on manufacturers or operators of autonomous vehicles or developers of autonomous vehicle technologies. If regulations of this nature are implemented, we may not be able to commercialize our autonomous vehicle technologies in the manner we expect, or at all. Further, if we are unable to comply with existing or new regulations or laws applicable to autonomous vehicles, we could become subject to substantial fines or penalties.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PRC has adopted new regulations governing the use of algorithms. If new or existing regulations restrict our ability to use algorithms in our business, our financial performance and prospects would be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AI algorithms extensively in our operations. For example,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 We also utilize our AI and deep learning systems to match individual drivers and riders efficiently, taking into account factors such as distance, wait times, and driver and passenger preferences. We rely on our matching algorithms to reduce pickup waiting times for customers and idle driving times for drivers, with the goal of satisfying customer demands and maximizing driver income. In addition to shared mobility, we are able to implement this matching technology for other offerings, such as intra-city freight, optimizing allocation and improving efficiency for each business 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has adopted new regulations governing the use of algorithms. On August 17, 2021, the State Administration for Market Regulation issued a discussion draft of Provisions on the Prohibition of Unfair Competition on the Internet, under which business operators should not use data or algorithms to hijack traffic or influence users’ choices, or use technical means to illegally capture or use other business operators’ data. On September 17, 2021, the CAC, together with certain other governmental authorities, jointly issued the Guidelines on Strengthening the Comprehensive Regulation of Algorithm for Internet Information Services, which provide that, daily monitoring of data use, application scenarios and effects of algorithms shall be carried out by the relevant regulators, and security assessments of algorithm shall be conducted by the relevant regulators, and an algorithm filing system shall be established and classified security management of algorithms shall be promoted. On December 31, 2021, the CAC and certain other PRC governmental authorities promulgated the Provisions on the Administration of Algorithm Recommendation for Internet Information Services, which took effect from March 1, 2022. These provisions require that algorithmic recommendation service providers shall inform users in a conspicuous manner of their provision of algorithmic recommendation services, and publicize the basic principles, purposes, and main operating mechanisms of algorithmic recommendation services in an appropriate manner. For more information about PRC laws and regulations relating to algorithms, see “Item 4. Information on the Company—B. Business Overview—Regulation—PRC Regulations—Regulations Relating to Algorithms.”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 technology and data advantage due to our large driver and consumer base, significant transaction volume, and fleet of shared mobility vehicles. This allows us to analyze data to power and improve our technology. If new or existing regulations restrict our ability to use algorithms in our business, we may be unable to leverage this competitive advantage to the same extent, and our financial performance and prospects would be adversely impacted.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may be adversely affected by natural disasters, public health matters, political crises, economic downturns or other unexpected events.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unforeseen public health matters such as outbreaks of the COVID-19 pandemic or other contagious diseases could adversely affect our operations or the economies of the markets where we operate. Beginning in 2020, outbreaks of COVID-19 resulted in the temporary closure of many corporate offices, retail stores, and manufacturing facilities across China. The demand for our mobility offerings, as well as the supply of drivers, decreases drastically under such conditions. See “Item 5. Operating and Financial Review and Prospects—A. Operating Results—COVID-19 IMPACT” for further discussion.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extent to which the pandemic impacts our results of operations going forward will depend on future developments which are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China may experience greater economic uncertainty like many other countries in the world, which may impact our business in a materially negative way as our Core Platform GTV may be adversely impacted. Outbreaks of other similar contagious diseases may materially and adversely affect our business, financial condition and results of operations in the current and future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 significant natural disaster, such as an earthquake, fire, hurricane, tornado, flood or significant power outage, could disrupt our operations, mobile networks, the internet or the operations of our third-party technology providers. Political crises, such as terrorist attacks, war and other political instability, or other catastrophic events, whether in China or abroad, could adversely affect our operations or the economies of the markets where we operate. The impact of any natural disaster, act of terrorism or other disruption to us or our third-party providers’ abilities could result in decreased demand for our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discretionary spending and demand for ride hailing and other mobility services to decline. An economic downturn resulting in a prolonged recessionary period would have a material adverse effect on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drivers are not satisfied with our energy and vehicle services, including those provided through third parties, our business and growth prospects may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a wide range of energy and vehicle services, including leasing, refueling, maintenance and repair, aimed particularly at drivers on our platform. We provide a large proportion of these energy and vehicle services through third parties which we do not control. The convenience and cost savings afforded to drivers by these energy and vehicle services is a key part of our strategy to attract and retain drivers on our platform. If these solutions do not appeal to drivers, or if they are unavailable when drivers need them, or if the prices at which we offer them are not more attractive than the prices of comparable services available in the open market or through our competitors, we may be less able to attract and retain drivers, which could materially and adversely affect our business and growth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Termination or deterioration of our partnerships may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strategic cooperation relationships with certain business partners. For example, we partnered with a leading electric vehicle manufacturer in the development and production of the D1, our electric vehicle, as well as in certain aspects of electric vehicle technology. We also collaborate with certain business partners to obtain information technology platform services, payment processing services, colocation services and cloud communication services for our business. The contracts that we have entered into with these business partners are ordinary course of business contracts relating to the specific services that these partners provide to us. The duration of these contracts varies depending on the nature of the services and these contracts typically contain standard termination provisions that allow either party to terminate the contracts by serving prior notice to the other party. If we fail to maintain such relationships, or these business partners choose to terminate our relationships, we may need to source other alternative partners to provide such services, which may divert significant management attention from existing business operations. We may not be able to find alternative partners on favorable terms or at all, and our business may be negatively affected until we are able to find alternative partners.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company culture has contributed to our success and if we cannot maintain this culture as we grow, our business could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company culture has been critical to our success. We face a number of challenges that may affect our ability to sustain our corporate culture,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identify, attract, reward and retain people in leadership positions in our organization who share and further our culture and values;</w:t>
            </w:r>
          </w:p>
        </w:tc>
      </w:tr>
    </w:tbl>
    <w:tbl>
      <w:tblPr>
        <w:tblW w:w="9036" w:type="dxa"/>
        <w:jc w:val="left"/>
        <w:tblInd w:w="0" w:type="dxa"/>
        <w:tblCellMar>
          <w:top w:w="28" w:type="dxa"/>
          <w:left w:w="28" w:type="dxa"/>
          <w:bottom w:w="28" w:type="dxa"/>
          <w:right w:w="28" w:type="dxa"/>
        </w:tblCellMar>
      </w:tblPr>
      <w:tblGrid>
        <w:gridCol w:w="124"/>
        <w:gridCol w:w="256"/>
        <w:gridCol w:w="8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size and geographic diversity of our workforce as we expand into new cities and countries;</w:t>
            </w:r>
          </w:p>
        </w:tc>
      </w:tr>
    </w:tbl>
    <w:tbl>
      <w:tblPr>
        <w:tblW w:w="7821" w:type="dxa"/>
        <w:jc w:val="left"/>
        <w:tblInd w:w="0" w:type="dxa"/>
        <w:tblCellMar>
          <w:top w:w="28" w:type="dxa"/>
          <w:left w:w="28" w:type="dxa"/>
          <w:bottom w:w="28" w:type="dxa"/>
          <w:right w:w="28" w:type="dxa"/>
        </w:tblCellMar>
      </w:tblPr>
      <w:tblGrid>
        <w:gridCol w:w="124"/>
        <w:gridCol w:w="256"/>
        <w:gridCol w:w="74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to move in directions that may divert us from our vision and values;</w:t>
            </w:r>
          </w:p>
        </w:tc>
      </w:tr>
    </w:tbl>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need to develop expertise in new areas of business that affect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perception of our treatment of employees or our response to employee sentiment or actions of management; and</w:t>
            </w:r>
          </w:p>
        </w:tc>
      </w:tr>
    </w:tbl>
    <w:tbl>
      <w:tblPr>
        <w:tblW w:w="5901" w:type="dxa"/>
        <w:jc w:val="left"/>
        <w:tblInd w:w="0" w:type="dxa"/>
        <w:tblCellMar>
          <w:top w:w="28" w:type="dxa"/>
          <w:left w:w="28" w:type="dxa"/>
          <w:bottom w:w="28" w:type="dxa"/>
          <w:right w:w="28" w:type="dxa"/>
        </w:tblCellMar>
      </w:tblPr>
      <w:tblGrid>
        <w:gridCol w:w="124"/>
        <w:gridCol w:w="25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new personnel and businesses from acquisitions.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not able to maintain our culture, our business, financial condition and results of operations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depends on retaining and attracting high-quality personnel, and failure to retain, attract or maintain such personnel could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depends in large part on our ability to attract and retain high-quality management, operations, engineering, and other personnel. These personnel are in high demand, are often subject to competing employment offers, and are attractive recruiting targets for our competitors. The loss of qualified executives and employees, or an inability to attract, retain, and motivate high-quality executives and employees required for the planned expansion of our business, may harm our operating results and impair our ability to grow. In addition, we depend on the continued services and performance of our key personnel, including our chairman and chief executive officer, Will Wei Cheng, and our president, Jean Qing Liu. To attract and retain key personnel, we use equity incentives, among other measures. These measures may not be sufficient to attract and retain the personnel we require to operate our business effectively. If we are unable to attract and retain high-quality management and operating personnel, our business, financial condition, and operating results could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will require additional capital to support the growth of our business, and this capital might not be available on reasonable terms or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continue to effectively compete, we will require additional funds to support the growth of our business and allow us to invest in new products, offerings, and markets. If we raise additional funds through further issuances of equity or convertible debt securities, our existing shareholders may suffer significant dilution. If we raise funds for a specific project by selling a share of the equity interests in the entity that is developing a project, we and our shareholders will not reap all of the benefits of any future success of those projects. For example, the entities engaged in our community group buying, bike and e-bike sharing, autonomous driving and intra-city freight businesses have each issued equity interests in their share capital in the course of their independent financings. We may cease to be the controlling shareholder of these subsidiaries as a result of such financings, which may result in the deconsolidation of their businesses. In addition, pursuant to the terms of such subsidiary financings, we have granted exit rights to certain investors which allow them to request us to repurchase their shares in these subsidiaries with cash or shares of our company under certain circumstances. The amount of cash and the number of our shares that may be paid or issued upon the investors’ exercise of such exit rights is not determinable at this time and will depend on many factors which are out of our control. We may be obliged to issue a large number of shares in our company to the investors, which may significantly dilute the interests of existing shareholders or, if we need to pay large sums of cash to repurchase those investors’ shares, our liquidity and financial conditions may be materially and adversely affected. See “Item 4. Information on the Company—A. History and Development of the Company—Subsidiary Financings”. If we incur debt to finance our business, we may be required to use a substantial portion of our cash flows from operations to pay interest and principal on our indebtedness. Such payments would reduce the funds available to us for working capital, capital expenditures, and other corporate purposes and limit our ability to obtain additional financing for working capital, capital expenditures, expansion plans, and other investments. Additional fundraising may also subject us to operating and financing covenants that may restrict our business and operations. Finally, our delisting from the NYSE would make it more difficult for us to raise capital by making our shares less attractive to potential investors, which could force us to rely on ways of raising capital that are less favorable than those normally available to listed companies. As a result, we may be less able to implement our business strategy, more vulnerable to downturns in our business, the industry, or in the general economy, have less flexibility in planning for, or reacting to, changes in our business and the industry, and be unable to take advantage of business opportunities as they arise.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protect our intellectual property, or if third parties are successful in claiming that we are misappropriating the intellectual property of others, we may incur significant expense and our business may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intellectual property includes the content of our websites, mobile applications, registered domain names, software code, firmware, hardware and hardware designs, registered and unregistered trademarks, trademark applications, copyrights, trade secrets, inventions (whether or not patentable), patents, and patent applications. We believe that our intellectual property is essential to our business and affords us a competitive advantage in the markets in which we operate. If we do not adequately protect our intellectual property, our brand and reputation may be harmed, drivers and consumers could devalue our service and product offerings, and our ability to compete effectively may be impaired.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protect our intellectual property, we rely on a combination of copyright, trademark, patent, and trade secret laws, contractual provisions, end-user policies, and disclosure restrictions. Upon discovery of potential infringement of our intellectual property, we promptly take action to protect our rights as appropriate. We also enter into confidentiality agreements and invention assignment agreements with our employees and consultants and seek to control access to, and distribution of, our proprietary information in a commercially prudent manner. The efforts we have taken to protect our intellectual property may not be sufficient or effective. For example, effective intellectual property protection may not be available in every country in which we currently operate or in the future will operate. In addition, it may be possible for other parties to copy or reverse-engineer our service and product offerings or obtain and use the content of our website without authorization. Further, we may be unable to detect infringement of our intellectual property rights, and even if we detect such violations and decide to enforce our intellectual property rights, we may not be successful, and may incur significant expenses, in such efforts. Any failure to protect or any loss of our intellectual property may have an adverse effect on our ability to compete and may adversely affect our business, financial condition, or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Intellectual property protection may not be sufficient in the jurisdictions in which we operate. Confidentiality and non-compete agreements may be breached by counterparties, and there may not be adequate remedies available to us for any such breach. Accordingly, we may not be able to effectively protect our intellectual property rights or to enforce our contractual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cannot be that certain of our operations or any other aspects of our business do not or will not infringe upon or otherwise violate trademarks, copyrights or other intellectual property rights held by third parties. We have been, and from time to time in the future may be, subject to legal proceedings and claims relating to the intellectual property rights of others, sometimes from our suppliers. In addition, there may be other third-party intellectual property that is infringed by our services or other aspects of our business.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Defending against these claims and proceedings is costly and time consuming and may divert management’s time and other resources from our business and operations, and the outcome of many of these claims and proceedings cannot be predicted. If a judgment, a fine or a settlement involving a payment of a material sum of money were to occur, or injunctive relief were issued against us, it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manage supply chain risks related to new services offerings, product offerings and advanced technologies, our operations may be disrupted.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developed new service and product offerings, such as electric vehicles, and we are developing advanced technologies for autonomous driving. These service and product offerings require and rely on hardware and other components that we source from third-party suppliers. The continued development of these new service and product offerings and advanced technologies depends on our ability to implement and manage supply chain logistics to secure the necessary components and hardware. We have limited experience in managing supply chain risks. It is possible that we may not be able to obtain a sufficient supply of the necessary components and hardware in a timely manner, or at all. Events that could disrupt our supply chain include the imposition of export control or other trade laws or regulations, foreign currency fluctuations, theft and restrictions on the transfer of funds, and natural disasters, public health crises, political crises or other unexpected events. The occurrence of any of the foregoing could materially increase the cost and reduce or delay the supply of electric vehicles available on our platform and could materially delay our progress towards introducing autonomous driving onto our platform, all of which could adversely affect our business, financial condition, operating results,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successful operation of our business depends upon the performance and reliability of internet, mobile, and other infrastructures that are not under our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depends on the performance and reliability of internet, mobile, and other infrastructures that are not under our control. Disruptions in internet infrastructure or GPS signals or the failure of telecommunications network operators, cloud service providers and other third-party providers of network services that provide us with the bandwidth we need to provide our service and product offerings could interfere with the performance and availability of our platform. If our platform is unavailable when consumers attempt to access it, or if our platform does not load as quickly as consumers expect, consumers may not return to our platform as often in the future, or at all. In addition, we have no control over the costs of the services provided by national telecommunications operators. If mobile internet access fees or other charges to internet users increase, consumer traffic may decrease, which may in turn cause our revenues to significantly decrease.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Almost all access to the internet in China is maintained through state-owned telecommunication operators under the administrative control and regulatory supervision of the Ministry of Industry and Information Technology, or the MIIT.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also depends on the efficient and uninterrupted operation of mobile communications systems. The occurrence of power outages, telecommunications delays or failures, security breaches, or computer viruses could result in delays or interruptions to our products, offerings, and platform, as well as business interruptions for us and for drivers, consumers and other users. Any of these events could damage our reputation, significantly disrupt our operations, and subject us to liability, which could adversely affect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third parties maintaining open marketplaces to distribute our mobile apps and to provide the software we use in certain of our service and product offerings. If such third parties interfere with the distribution of our service and product offerings or with our use of such software, our business would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platform relies on third parties maintaining open marketplaces, including the Apple App Store and Google Play, which make applications available for download. We cannot assure you that such marketplaces will not charge us fees to list our applications for download. We rely upon certain third parties to provide software for our service and product offerings. We do not control all mapping functions employed by our platform or drivers using our platform, and it is possible that such mapping functions may not be reliable. If such third parties cease to provide access to the third-party software that we and drivers use, do not provide access to such software on terms that we believe to be attractive or reasonable, or do not provide us with the most current version of such software, we may be required to seek comparable software from other sources, which may be more expensive or inferior, or may not be available at all, any of which would adversely affect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depends upon the interoperability of our platform across devices, operating systems, and third-party applications that we do not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One of the most important features of our platform is its broad interoperability with a range of devices, operating systems, and third-party applications. Our platform is accessible from the web and from devices running various operating systems such as iOS and Android. We depend on the accessibility of our platform across third-party operating systems and applications that we do not control. Moreover, third-party services and products are constantly evolving, and we may not be able to modify our platform to assure its compatibility with that of other third parties following development changes. The loss of interoperability, whether due to actions of third parties or otherwise, could adversely affect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Increases in fuel, food, labor, energy, and other costs could adversely affect our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Factors such as inflation, increased fuel prices, and increased vehicle purchase, rental, or maintenance costs may increase the costs incurred by drivers when providing services on our platform. Many of the factors affecting driver costs are beyond their control. In many cases, these increased costs may cause drivers to spend less time providing services on our platform or to seek alternative sources of income. A decreased number of drivers on our platform would decrease our network liquidity, which could harm our business and operating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Computer malware, viruses, spamming, and phishing attacks could harm our reputation, business,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heavily on information technology systems across our operations. Our information technology systems, including mobile and online platforms, mobile payment systems and administrative functions, and the information technology systems of our third-party business partners and service providers contain proprietary or confidential information related to business and sensitive personal data, including personally identifiable information, entrusted to us by drivers, consumers, businesses, employees, and job candidates. Computer malware, viruses, spamming, and phishing attacks have become more prevalent in our industry, have occurred on our systems in the past, and may occur on our systems in the future. Various other factors may also cause system failures, including power outages, catastrophic events, inadequate or ineffective redundancy, issues with upgrading or creating new systems or platforms, flaws in third-party software or services, errors by our employees or third-party service providers, or breaches in the security of these systems or platforms. If we cannot resolve these issues in an effective manner, they could adversely impact our business operations and our financial results. Because of our prominence, the number of platform users, and the types and volume of personal data on our systems, we may be a particularly attractive target for such attacks. Although we have developed systems and processes that are designed to protect our data and that of platform users, and to prevent data loss, undesirable activities on our platform, and security breaches, we cannot assure you that such measures will provide absolute security. Our efforts on this front may be unsuccessful as a result of, for example, software bugs or other technical malfunctions, employee, contractor, or vendor error or malfeasance, or the appearance of new threats that we did not anticipate or guard against, and we may incur significant costs in protecting against or remediating cyber-attacks. Any actual or perceived failure to maintain the performance, reliability, security, and availability of our products, offerings, and technical infrastructure to the satisfaction of platform users and government regulators would likely harm our reputation and result in loss of revenues from the adverse impact to our reputation and brand, disruption to our business, and our decreased ability to attract and retain drivers and consumers.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platform is highly technical, and any undetected errors could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platform is a complex system composed of many interoperating components and incorporates software that is highly complex. Our business is dependent upon our ability to prevent system interruption on our platform.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national or regional reporting obligations, or could cause downtime that would impact the availability of our service to platform users. We have from time to time found defects or errors in our system and may discover additional defects in the future that could result in platform unavailability or system disruption. In addition, we have experienced outages on our platform in the past. If sustained or repeated, any of these outages could reduce the attractiveness of our platform to platform users. In addition, our release of new software in the past has inadvertently caused, and may in the future cause, interruptions in the availability or functionality of our platform. Any errors, bugs, or vulnerabilities discovered in our code or systems after release could result in an interruption in the availability of our platform or a negative experience for drivers and consumers, and could also result in negative publicity and unfavorable media coverage, damage to our reputation, loss of platform users, loss of revenues or liability for damages, regulatory inquiries, or other proceedings, any of which could adversely affect our business and financial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use of third-party open source software could adversely affect our ability to offer our service and product offerings and subjects us to possible litigation.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third-party open source software in connection with the development of our platform.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Furthermore, there are more and more types of open-source software licenses, almost none of which have been tested in a court of law, resulting in a dearth of guidance regarding the proper legal interpretation of such licenses. If we were to receive a claim of non-compliance with the terms of any of our open source licenses, we may be required to publicly release certain portions of our proprietary source code or expend substantial time and resources to re-engineer some or all of our software.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Additionally, because any software source code that we contribute to open 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operating results and could help our competitors develop service and product offerings that are similar to or better than ours.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would be adversely affected if drivers were classified as employees, workers or quasi-employees.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classification of drivers is currently being challenged in courts, by legislators and by government agencies in a number of jurisdictions. We may become involved in legal proceedings, including lawsuits, demands for arbitration, charges and claims before administrative agencies, and investigations or audits by labor, social security, and tax authorities that claim that drivers should be treated as our employees (or as workers or quasi-employees where those statuses exist), rather than as independent contractors. We generally treat drivers as independent contractors. However, we may not be successful in defending the classification of drivers in some or all jurisdictions where it is challenged. Furthermore, the costs associated with defending, settling, or resolving pending and future lawsuits (including demands for arbitration) relating to the classification of drivers have been and may continue to be material to our business. In addition, even if we prevail under current law, the law may be changed in the future in ways that are unfavorable to us. Reclassification of drivers as employees, workers or quasi-employees where those statuses exist could require us to fundamentally change our business model, with repercussions that are difficult to anticipate. Among other things, reclassification could subject us to vicarious liability for any misconduct of drivers, require us to pay them wages, make social insurance contributions or provide other benefits, or reduce our attractiveness to drivers given the loss of flexibility under an employee model.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2021, media reported that China plans to amend laws to allow ride-hailing drivers and food delivery workers to form unions. Representation of ride-hailing drivers and food delivery worker on our platform in China by unions may complicate our relationship with them and our supply of drivers may be affected adversely.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Reclassification could also impact our current financial statement presentation relating to our International segment, including the calculation of our revenues, cost of revenues and expenses, as further described in our significant and critical accounting policies in Note 3 to our consolidated financial statements. See also “—Risks Relating to Doing Business in China—Increases in labor costs and enforcement of stricter labor laws and regulations in China may adversely affect our business and our profitability.”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third parties for elements of the payment processing infrastructure underlying our platform. If these third-party elements become unavailable or unavailable on favorable terms, our business could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convenient payment mechanisms provided by our platform are key factors contributing to the development of our business. We rely on third parties for elements of our payment-processing infrastructure to collect payments from consumers and to remit payments to drivers using our platform, and these third parties may refuse to renew our agreements with them on commercially reasonable terms or at all. If these companies become unwilling or unable to provide these services to us on acceptable terms or at all, our business may be disrupted.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 certain jurisdictions, we allow consumers to pay for rides and food delivery using cash, which raises numerous regulatory, operational, and safety concerns. If we do not successfully manage those concerns, we could become subject to adverse regulatory actions and suffer reputational harm or other adverse financial and accounting consequences.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certain jurisdictions, including Brazil and Mexico, we allow consumers to use cash to pay drivers the entire fare of rides and cost of food delivery (including our service fee from such rides and food delivery). The use of cash raises numerous regulatory, operational, and safety concerns. For example, many jurisdictions have specific regulations regarding the use of cash for ride hailing and certain jurisdictions prohibit the use of cash for ride hailing. Failure to comply with these regulations could result in the imposition of significant fines and penalties and could result in a regulator requiring that we suspend operations in those jurisdictions. In addition to these regulatory concerns, the use of cash can increase safety and security risks for drivers and riders, including potential robbery, assault, violent or fatal attacks, and other criminal acts. Serious safety incidents resulting in robberies and violent, fatal attacks on drivers while using our platform have been reported. If we are not able to adequately address any of these concerns, we could suffer significant reputational harm, which could adversely impact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establishing the proper infrastructure to ensure that we receive the correct service fee on cash trips is complex, and has in the past meant and may continue to mean that we cannot collect the entire service fee for certain of our cash-based trips. We have created systems for drivers to collect and deposit the cash received for cash-based trips and deliveries, as well as systems for us to collect, deposit, and properly account for the cash received, some of which are not always effective, convenient, or widely adopted by drivers. Creating, maintaining, and improving these systems requires significant effort and resources, and we cannot guarantee these systems will be effective in collecting amounts due to us. Further, operating a business that uses cash raises compliance risks with respect to a variety of laws and regulations, including anti-money laundering laws. If drivers fail to pay us under the terms of our agreements or if our collection systems fail, we may be adversely affected by both the inability to collect amounts due and the cost of enforcing the terms of our contracts, including litigation. Such collection failure and enforcement costs, along with any costs associated with a failure to comply with applicable rules and regulations, could, in the aggregate, impact our financial performance.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subject to extensive government regulation and oversight relating to the provision of payment and financial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Jurisdictions in which we operate have laws that govern payment and financial services activities. Regulators may determine that certain aspects of our business are subject to these laws and could require us to obtain licenses to continue to operate in such jurisdictions. In some countries, it is not clear whether we are required to be licensed as a payment services provider where we rely on local payment providers to disburse payments. Were local regulators to determine that such arrangements require us to be so licensed, such regulators may block payments to drivers, restaurants, shippers or carriers.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laws relating to money transfers and online payments are evolving, and changes in such laws could affect our ability to provide payment processing on our platform in the same form and on the same terms as we have historically, or at all. Our business operations, including our payments to drivers, may not always comply with these financial laws and regulations. Non-compliance with these laws or regulations could result in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we obtained the approval from Chongqing Financial Supervision and Administration Bureau for establishing a micro-loan company by DiDi (HK) Science and Technology Limited in August 2017. The approved business scopes of the micro-loan company include various loan business, bill discounting business, asset transfer business and investment or other activities with its own funds, and it may carry out its own loan businesses nationwide through the approved and filed online platform, i.e., DiDi Chuxing Platform. In November 2020, the China Banking and Insurance Regulatory Commission and the People’s Bank of China promulgated a draft of Interim Measures for the Administration of Online Micro-Loan Business for public comments, which set out more requirements for establishing micro-loan companies. The controlling shareholder must meet the following conditions: its main business must be to provide products or services suitable for online micro-loan business; it must have a good financial status and have been profitable with cumulative total tax payments of not less than RMB12 million (US$1.7 million) (using consolidated financial statement standards) during the past two fiscal years; and its capital contribution to the micro-loan company must not have exceeded 35% of its net assets for the previous fiscal year. In addition, the internet platform used for the online micro-loan business must meet the following conditions: the operator of the internet platform must hold more than 5% of equity interest of the micro-loan company; the registration place of the internet platform operator and the registration place of the micro-loan company must be in the same province, autonomous region, or municipality directly under the central government; and the registered capital of a micro-loan company operating online micro-loan business across provincial administrative regions must not be less than RMB5 billion (US$0.7 billion), and it must be fully paid up in one installment in currency. In addition, the draft measures require that a micro-loan company approved by the relevant authority to engage in online micro-loan business before the implementation of these measures shall fully meet the requirements under these measures within one year from the date of implementation of these measures. As of the date of this annual report, the above measures have not been formally adopted, and uncertainties still exist with respect to the enactment timetable, final content, interpretation and implementation of these measures and how they will affect our business operation.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generate a significant percentage of our transactions from certain major cities. If our operations in these cities are negatively affected, our financial results and future prospects would be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generate a significant percentage of our transactions from certain major cities. We experience greater competition in large cities than we do in other markets in which we operate, which has led us to offer significant driver incentives and consumer discounts and promotions in these cities. As a result of our geographic concentration, our business and financial results are susceptible to economic, social, weather, and regulatory conditions or other circumstances in each of these cities. For example, an uptick in cases in Guangdong province and the related travel restrictions and other limitations imposed in response to these new cases in that one province, adversely affected our operating performance, including GTV and Platform Sales for China Mobility, and our results of operations for the three months ended June 30, 2021. Outbreaks of contagious diseases or other viruses such as the COVID-19 pandemic could lead to a sustained decline in the desirability of living, working and congregating in the cities in which we operate. Any short-term or long-term shifts in the travel patterns of consumers away from cities, due to health concerns regarding epidemics or pandemics such as COVID-19, could have an adverse impact on our GTV from these areas. An economic downturn, increased competition, or regulatory obstacles in any of these cities would adversely affect our business, financial condition, and operating results to a much greater degree than would the occurrence of similar events in other areas. In addition, any changes to local laws or regulations within these cities that affect our ability to operate or increase our operating expenses in these markets would have an adverse effect on our business. Furthermore, if we are unable to renew existing licenses or do not receive new licenses in the major cities where we operate or such licenses are terminated, any inability to operate in such urban area, as well as the publicity concerning any such termination or non-renewal, could adversely affect our business, financial condition,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we expect that we will continue to face challenges in penetrating non-urban areas, where our network is smaller and our presence is smaller. If we are not successful in penetrating non-urban areas, or if we are unable to operate in certain key cities in the future, our ability to serve what we consider to be our total addressable market would be limited, and our business, financial condition, and operating results would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strategic investments and acquisitions involve inherent risks, and any businesses we invest in or acquire may not perform as expected or be successfully integrated.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our business strategy, we have entered into, and expect to continue to enter into, agreements to invest in or acquire companies, form joint ventures, divest portions or aspects of our business, sell minority stakes in portions or aspects of our business, and acquire complementary assets or technologies. Competition within our industry for investments in and acquisitions of businesses, technologies, and assets is intense. Even if we are able to identify a target for investment or acquisition, we may not be able to complete the transaction on commercially reasonable terms, we may not be able to receive approval under anti-monopoly and competition laws, or the target may choose to enter into a transaction with another party, which could be our competitor.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businesses we invest in or acquire may not perform as well as we expect. We recorded impairment losses of RMB1.0 billion, nil and RMB18.5 million (US$2.7 million) for those equity investments accounted for using Measurement Alternative in 2020, 2021 and 2022, respectively. One of our equity investees, Chengxin Technology Inc., or Chengxin, was a company engaged in the community group buying business which we deconsolidated after March 30, 2021. We also recorded downward fair value changes of RMB21.3 billion for our investments in Chengxin in 2021. As described in Notes 4 and Note 27 to our consolidated financial statements, RMB1.2 billion (US$0.2 billion) was recognized in the consolidated statement of comprehensive loss in 2022 upon Chengxin’s distribution of our share of its assets in July 2022. Failure to manage and successfully integrate acquired businesses and technologies, including managing any privacy or data security risks associated with such acquisitions, may harm our operating results and expansion prospects. The process of integrating an acquired company, business, or technology or acquired personnel into our company, as well as the performance of an acquired company, business, or technology or acquired personnel, are subject to various risks and challenges, including:</w:t>
      </w:r>
    </w:p>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diverting management time and focus from operating our business;</w:t>
            </w:r>
          </w:p>
        </w:tc>
      </w:tr>
    </w:tbl>
    <w:tbl>
      <w:tblPr>
        <w:tblW w:w="4116" w:type="dxa"/>
        <w:jc w:val="left"/>
        <w:tblInd w:w="0" w:type="dxa"/>
        <w:tblCellMar>
          <w:top w:w="28" w:type="dxa"/>
          <w:left w:w="28" w:type="dxa"/>
          <w:bottom w:w="28" w:type="dxa"/>
          <w:right w:w="28" w:type="dxa"/>
        </w:tblCellMar>
      </w:tblPr>
      <w:tblGrid>
        <w:gridCol w:w="124"/>
        <w:gridCol w:w="256"/>
        <w:gridCol w:w="3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disrupting our ongoing business operations;</w:t>
            </w:r>
          </w:p>
        </w:tc>
      </w:tr>
    </w:tbl>
    <w:tbl>
      <w:tblPr>
        <w:tblW w:w="5271" w:type="dxa"/>
        <w:jc w:val="left"/>
        <w:tblInd w:w="0" w:type="dxa"/>
        <w:tblCellMar>
          <w:top w:w="28" w:type="dxa"/>
          <w:left w:w="28" w:type="dxa"/>
          <w:bottom w:w="28" w:type="dxa"/>
          <w:right w:w="28" w:type="dxa"/>
        </w:tblCellMar>
      </w:tblPr>
      <w:tblGrid>
        <w:gridCol w:w="124"/>
        <w:gridCol w:w="256"/>
        <w:gridCol w:w="4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acceptance of the acquired company’s offerings;</w:t>
            </w:r>
          </w:p>
        </w:tc>
      </w:tr>
    </w:tbl>
    <w:tbl>
      <w:tblPr>
        <w:tblW w:w="8076" w:type="dxa"/>
        <w:jc w:val="left"/>
        <w:tblInd w:w="0" w:type="dxa"/>
        <w:tblCellMar>
          <w:top w:w="28" w:type="dxa"/>
          <w:left w:w="28" w:type="dxa"/>
          <w:bottom w:w="28" w:type="dxa"/>
          <w:right w:w="28" w:type="dxa"/>
        </w:tblCellMar>
      </w:tblPr>
      <w:tblGrid>
        <w:gridCol w:w="124"/>
        <w:gridCol w:w="256"/>
        <w:gridCol w:w="7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or remediating the controls, procedures, and policies of the acquired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the acquired business onto our systems and ensuring the acquired business meets our financial reporting requirements and timelines;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integrating acquired employees, including aligning incentives between acquired employees and existing employees, as well as managing costs associated with eliminating redundancies or transferring employees on acceptable terms with minimal business disruption;</w:t>
            </w:r>
          </w:p>
        </w:tc>
      </w:tr>
    </w:tbl>
    <w:tbl>
      <w:tblPr>
        <w:tblW w:w="7371" w:type="dxa"/>
        <w:jc w:val="left"/>
        <w:tblInd w:w="0" w:type="dxa"/>
        <w:tblCellMar>
          <w:top w:w="28" w:type="dxa"/>
          <w:left w:w="28" w:type="dxa"/>
          <w:bottom w:w="28" w:type="dxa"/>
          <w:right w:w="28" w:type="dxa"/>
        </w:tblCellMar>
      </w:tblPr>
      <w:tblGrid>
        <w:gridCol w:w="124"/>
        <w:gridCol w:w="256"/>
        <w:gridCol w:w="6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important business relationships and contracts of the acquired business;</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pre-acquisition activities of the acquired company;</w:t>
            </w:r>
          </w:p>
        </w:tc>
      </w:tr>
    </w:tbl>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claims or liabilities arising in connection with the acquired company;</w:t>
            </w:r>
          </w:p>
        </w:tc>
      </w:tr>
    </w:tbl>
    <w:tbl>
      <w:tblPr>
        <w:tblW w:w="8661" w:type="dxa"/>
        <w:jc w:val="left"/>
        <w:tblInd w:w="0" w:type="dxa"/>
        <w:tblCellMar>
          <w:top w:w="28" w:type="dxa"/>
          <w:left w:w="28" w:type="dxa"/>
          <w:bottom w:w="28" w:type="dxa"/>
          <w:right w:w="28" w:type="dxa"/>
        </w:tblCellMar>
      </w:tblPr>
      <w:tblGrid>
        <w:gridCol w:w="124"/>
        <w:gridCol w:w="256"/>
        <w:gridCol w:w="8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 associated with goodwill, investments, and other acquired intangible assets; and</w:t>
            </w:r>
          </w:p>
        </w:tc>
      </w:tr>
    </w:tbl>
    <w:tbl>
      <w:tblPr>
        <w:tblW w:w="5121" w:type="dxa"/>
        <w:jc w:val="left"/>
        <w:tblInd w:w="0" w:type="dxa"/>
        <w:tblCellMar>
          <w:top w:w="28" w:type="dxa"/>
          <w:left w:w="28" w:type="dxa"/>
          <w:bottom w:w="28" w:type="dxa"/>
          <w:right w:w="28" w:type="dxa"/>
        </w:tblCellMar>
      </w:tblPr>
      <w:tblGrid>
        <w:gridCol w:w="124"/>
        <w:gridCol w:w="256"/>
        <w:gridCol w:w="47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unforeseen operating difficulties and expenditures.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predict whether any strategic investment or acquisition will be accretive to the value of our ordinary shares. It is also possible that any of our past, pending or future strategic transactions could be viewed negatively by the press, investors, consumers or regulators, or subject to regulatory inquiries or proceedings, which may adversely affect our reputation, business, financial condition and prospect.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goodwill relating to our China Mobility segment may become impaired, resulting in a material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test goodwill for impairment annually during the fourth quarter, or when an event occurs or circumstances change that indicate the asset may be impaired. We assess qualitative factors such as industry and market conditions, overall financial performance of the reporting unit, and other specific information related to the operations to determine whether it is more likely than not that the fair value of a reporting unit is less than its carrying amount. If a qualitative assessment identifies a possible impairment or we believe that the assets of a reporting unit are impaired, a quantitative goodwill impairment test is performed. If the carrying value of the reporting unit is above fair value, an impairment loss is recognized in an amount equal to the excess. We recorded an impairment loss of goodwill and intangible assets of RMB2.8 billion in our International segment in 2021 arising from our acquisition of 99 Taxis in 2018.</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RMB46.4 billion (US$6.7 billion) of goodwill as of December 31, 2022, representing 35.3% of our total assets as of that date. Most of this goodwill is attributable to our acquisitions of Kuaidi and Uber China. We recognized RMB8.4 billion in goodwill in our China Mobility segment in connection with the acquisition of Kuaidi in 2015 and RMB37.9 billion in goodwill in our China Mobility segment in connection with the acquisition of Uber China in 2016.</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 sustained decrease in our ADSs price quoted on OTC Pink was considered an indicator requiring an interim goodwill quantitative impairment test on the reporting unit as of September 30, 2022. As discussed in “Item 5. Operating and Financial Review and Prospects—E. Critical Accounting Estimates,” based on the result of the quantitative assessment, we concluded that there was no impairment of goodwill as of September 30, 2022. We performed a qualitative impairment assessment for the goodwill in China Mobility at the end of the year and concluded that there was no impairment for the goodwill as of December 31, 2022.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the key assumptions could change in the future, reducing the fair value of reporting unit to a level that would result in an impairment of goodwill. We may incur a material loss if we determine that part or all of the goodwill in our China Mobility segment is impaired.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manage the risks presented by our international expansion, our financial results and future prospects will be adversely impacted.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operations in China and 15 other countries through our platforms or our partnerships across the world as of December 31, 2022. We began expanding into international markets in 2018 and have limited experience operating in many jurisdictions outside of China. We have made, and expect to continue to make, significant investments to expand our international operations and compete with local competitors. Such investments may not be successful and may negatively affect our operating results. Our International segment had adjusted EBITA losses of RMB3.5 billion, RMB5.8 billion and RMB4.0 billion (US$0.6 billion) in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Conducting our business internationally, particularly in countries in which we have limited experience, subjects us to risks that we do not face to the same degree in China. These risks include, among others:</w:t>
      </w:r>
    </w:p>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and compliance challenges caused by distance, language, and cultural differences;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required to build a local management team in each new market and to localize our service offerings to appeal to drivers and consumers in that market;</w:t>
            </w:r>
          </w:p>
        </w:tc>
      </w:tr>
    </w:tbl>
    <w:tbl>
      <w:tblPr>
        <w:tblW w:w="5901" w:type="dxa"/>
        <w:jc w:val="left"/>
        <w:tblInd w:w="0" w:type="dxa"/>
        <w:tblCellMar>
          <w:top w:w="28" w:type="dxa"/>
          <w:left w:w="28" w:type="dxa"/>
          <w:bottom w:w="28" w:type="dxa"/>
          <w:right w:w="28" w:type="dxa"/>
        </w:tblCellMar>
      </w:tblPr>
      <w:tblGrid>
        <w:gridCol w:w="124"/>
        <w:gridCol w:w="25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caused by unfamiliar laws and regulations;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businesses that understand local markets better than we do, that have pre-existing relationships with potential consumers in those markets, or that are favored by government or regulatory authorities in those markets;</w:t>
            </w:r>
          </w:p>
        </w:tc>
      </w:tr>
    </w:tbl>
    <w:tbl>
      <w:tblPr>
        <w:tblW w:w="3396" w:type="dxa"/>
        <w:jc w:val="left"/>
        <w:tblInd w:w="0" w:type="dxa"/>
        <w:tblCellMar>
          <w:top w:w="28" w:type="dxa"/>
          <w:left w:w="28" w:type="dxa"/>
          <w:bottom w:w="28" w:type="dxa"/>
          <w:right w:w="28" w:type="dxa"/>
        </w:tblCellMar>
      </w:tblPr>
      <w:tblGrid>
        <w:gridCol w:w="124"/>
        <w:gridCol w:w="256"/>
        <w:gridCol w:w="3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geopolitical tensions;</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economic instability in any jurisdiction where we operate;</w:t>
            </w:r>
          </w:p>
        </w:tc>
      </w:tr>
    </w:tbl>
    <w:tbl>
      <w:tblPr>
        <w:tblW w:w="5706" w:type="dxa"/>
        <w:jc w:val="left"/>
        <w:tblInd w:w="0" w:type="dxa"/>
        <w:tblCellMar>
          <w:top w:w="28" w:type="dxa"/>
          <w:left w:w="28" w:type="dxa"/>
          <w:bottom w:w="28" w:type="dxa"/>
          <w:right w:w="28" w:type="dxa"/>
        </w:tblCellMar>
      </w:tblPr>
      <w:tblGrid>
        <w:gridCol w:w="124"/>
        <w:gridCol w:w="256"/>
        <w:gridCol w:w="5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export controls and economic and trade sanctions;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uncertainty regarding our liability for the actions of drivers, consumers and other third parties, including uncertainty resulting from unique local laws or a lack of clear legal precedent;</w:t>
            </w:r>
          </w:p>
        </w:tc>
      </w:tr>
    </w:tbl>
    <w:tbl>
      <w:tblPr>
        <w:tblW w:w="3771" w:type="dxa"/>
        <w:jc w:val="left"/>
        <w:tblInd w:w="0" w:type="dxa"/>
        <w:tblCellMar>
          <w:top w:w="28" w:type="dxa"/>
          <w:left w:w="28" w:type="dxa"/>
          <w:bottom w:w="28" w:type="dxa"/>
          <w:right w:w="28" w:type="dxa"/>
        </w:tblCellMar>
      </w:tblPr>
      <w:tblGrid>
        <w:gridCol w:w="124"/>
        <w:gridCol w:w="256"/>
        <w:gridCol w:w="3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operations in markets in which cash transactions are favored over credit or debit cards;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 including the complexities of foreign value added tax systems, and restrictions on the repatriation of earnings;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financial accounting and reporting burdens, and complexities associated with implementing and maintaining adequate internal controls;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implementing and maintaining the financial systems and processes needed to enable compliance across multiple offerings and jurisdictions; and</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varied protection for intellectual property rights in some markets.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risks could adversely affect our international operations, which could in turn adversely affect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operations in countries known to experience high levels of corruption and are subject to territorial anti-corruption laws in these jurisdictions as well as extra-territorial anti-corruptions laws, including the U.S. Foreign Corrupt Practices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operations in, and have business relationships with, entities in countries known to experience high levels of corruption. We are subject to anti-corruption laws in the jurisdictions in which we operate that prohibit improper payments or offers of payments to foreign governments, their officials, and political parties for the purpose of obtaining or retaining business. We are also subject to the U.S. Foreign Corrupt Practices Act and will remain so for so long as we remain a reporting company under section 15(d) of the Securities Exchange Act of 1934. Regulators continue to focus on the enforcement of these laws, and we may be subject to additional compliance requirements to identify criminal activity and payments to sanctioned parties. Our activities in certain countries with high levels of corruption enhance the risk of unauthorized payments or offers of payments by drivers, consumers, employees, consultants, or business partners in violation of various anti-corruption laws, even though the actions of these parties are often outside our control.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 which may result in increased share-based compensation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adopted our 2017 Equity Incentive Plan, which we refer to as the 2017 Plan, in December 2017. The 2017 Plan was subsequently amended and restated. In June 2021, we adopted our 2021 Share Incentive Plan, effective as of June 29, 2021, which we refer to as the 2021 Plan, for the same purpose. Under the 2017 Plan, we are authorized to grant options and other types of awards. The maximum aggregate number of ordinary shares that may be issued under the 2017 Plan is 195,127,549 shares. The maximum aggregate number of ordinary shares which may be issued under the 2021 Plan is initially 116,906,908 shares, subject to annual increase. See “Item 6. Directors, Senior Management and Employees—B. Compensation—Share Incentive Plans”. As of February 28, 2023, awards to purchase 41,784,933 ordinary shares that were granted under the 2017 Plan remained outstanding and awards to purchase 24,144,656 ordinary shares that were granted under the 2021 Plan remained outstanding. As a result, we have incurred and expect to continue to incur substantial share-based compensation expenses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will continue to grant share-based awards to employees, directors and consultants in the future. As a result, our expenses associated with share-based awards may increase, which may have an adverse effect on our results of operations. We may re-evaluate the vesting schedules, exercise prices or other key terms applicable to the grants under our currently effective share incentive plan from time to time. If we choose to modify the key terms, we may experience substantial change in our share-based compensation charges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depends heavily on insurance coverage for drivers and on other types of insurance for additional risks related to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require drivers on our platform to carry automobile insurance. If insurance carriers change the terms of their policies in a manner not favorable to us or the drivers, our or the drivers’ insurance costs could increase. Further, if the insurance coverage we maintain is not adequate to cover losses that occur, we could be liable for significant additional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be subject to claims of significant liability based on traffic accidents, injuries, or other incidents that are alleged to have been caused by drivers on our platform. As we expand to include more offerings on our platform, our insurance needs will likely extend to those additional offerings, including intra-city freight, autonomous driving, electric vehicles, and bike and e-bike sharing. As a result, our insurance policies may not cover all potential claims related to traffic accidents, injuries, or other incidents that are claimed to have been caused by drivers who use our platform, and may not be adequate to indemnify us for all liability that we could face. Even if these claims do not result in liability, we could incur significant costs in investigating and defending against them. If we are subject to claims of liability relating to the acts of drivers or others using our platform, we may be subject to negative publicity and incur additional expenses, which could harm our business, financial condition,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subject to local laws, rules, and regulations relating to insurance coverage which could result in proceedings or actions against us by governmental entities or others. Any failure, or perceived failure, by us to comply with local laws, rules, and regulations or contractual obligations relating to insurance coverage could result in proceedings or actions against us by governmental entities or others. These lawsuits, proceedings, or actions may subject us to significant penalties and negative publicity, require us to increase our insurance coverage, increase our costs, and disrupt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subject to pricing regulations, as well as related litigation, regulatory inquiries or investigations.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revenues are dependent on the pricing model we use to calculate user fares and driver earnings. Our pricing model has been, and will likely continue to be, challenged, banned, limited in emergencies, subject to regulatory inquiries or investigations, or capped in certain jurisdictions or in some of the cities where we operate. Any claim or challenge against us on our pricing model and any related litigation, regulatory inquiries, investigations or other legal proceedings could increase our operating costs and adversely affect our business and reputation. As a result, we may be forced to enter into settlement arrangements or change our pricing model in certain jurisdictions or those cities where we operate, which could be time consuming, costly, and require significant amounts of management time and corporate resources and could harm our business, financial condition, and operating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Misconduct and errors by our employees could harm our business and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operate in an industry in which integrity and the confidence of our consumers and drivers are of critical importance. We are subject to the risk of errors, misconduct and illegal activities by our employees. Errors, misconduct and illegal activities by our employees, or even unsubstantiated allegations of them, could result in a material adverse effect on our reputation and our business. It is not always possible to identify and deter misconduct or errors by employees, and the precautions we take to detect and prevent this activity may not be effective in controlling unknown or unmanaged risks or losses. If any of our employees engages in illegal or suspicious activities or other misconduct, we could suffer economic losses and may be subject to regulatory sanctions and significant legal liability, and our financial condition or ability to attract new consumers and drivers may be adversely affected as a result. If any sanction was imposed against an employee during his or her employment with us, even for matters unrelated to us, we may be subject to negative publicity which could adversely affect our brand, public image and reputation, as well as cause investigations or claims against us. We could also be perceived to have facilitated or participated in the illegal activities or misconduct, and therefore be subject to civil or criminal liability.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merchants on our platform for aspects of our food delivery services, and to the extent they fail to maintain their service levels or they increase the prices they charge consumers on our platform, our business would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food delivery services in select markets outside of China, in particular Mexico. We rely upon merchants on our platform, including small and local independent restaurants, to provide quality food to our consumers at expected price points. If these merchants experience difficulty servicing consumer demand, producing quality food at affordable prices, or meeting our other requirements or standards, or experience problems with their point-of-sale or other technologies, our reputation and brand could be damaged. Moreover, an increase in merchant operating costs could cause merchants on our platform to raise prices, renegotiate commission rates, or cease operations, which could in turn adversely affect our operational costs and efficiency, and if merchants on our platform were to cease operations, temporarily or permanently, we may not be able to provide consumers with sufficient merchant selection, which we expect would reduce the number of consumers on our platform. Many of the factors affecting merchant operating costs, including off-premise costs and prices, are beyond the control of merchants and include inflation, costs associated with the goods provided, labor and employee benefit costs, rent costs, and energy costs. If merchants pass along these increased operating costs and increase prices on our platform, order volume may decline. Additionally, some merchants choose to charge higher prices on our platform relative to their in-store prices. This practice can negatively affect consumer perception of our platform and could result in a decline in consumers or order volume, or both, which would adversely affect our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experience a negative impact on our reputation due to any quality or health issues with the food products distributed through our platform, which could have an adverse impact on our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Businesses that involve food products have inherent risks of product liability claims, product recall and the resulting negative publicity. Food products containing contaminants could be inadvertently distributed by us and, if these contaminants are not eliminated by the time of consumption, they could cause illness or death. We cannot assure you that product liability claims will not be asserted against us or that we will not be obligated to perform product recalls or be held liable for such incidents in the future. Any loss in confidence on the part of our customers would be difficult and costly to reestablish. Any such adverse impact could significantly reduce our brand value, and have a material and adverse impact on our sales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limited influence over our minority-owned affiliates, which subjects us to substantial risks, including potential loss of value or restrictions on our operations in certain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ownership in our minority-owned affiliates involves significant risks that are outside our control. We do not participate in the day-to-day management of our minority-owned affiliates or have a controlling influence on their boards. As a result, the boards of directors or management team of our minority-owned affiliates may make decisions or take actions with which we disagree or that may be harmful to the value of our ownership. Additionally, these companies have expanded their offerings, and we expect them to continue to expand their offerings in the future, to compete with us in various markets throughout the world. While this could enhance the value of our ownership interest in these companies, our business, financial condition and operating results would be adversely affected by such expansion into markets in which we operate. Furthermore, any material decline in the business of our minority-owned affiliates would adversely affect the value of our assets and our financial results, and we may never realize the value of these assets relative to the contributions we made to its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may from time to time enter into business arrangements in connection with our minority investments which restrict our operations in certain markets. For example, in connection with our investment in Grab Holdings Inc., we previously entered into a non-compete obligation under a shareholders’ agreement where we agreed we would not engage in, or own any interest in, any other ride hailing business in Southeast Asia. Although this agreement is no longer in effect, we may enter into similar business arrangements in the future in connection with other future minority investments.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bikes are currently subject to operating restrictions or caps in certain cities and municipalities.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Many cities in which we provide our bike and e-bike sharing services, including Beijing, Shanghai and Guangzhou, have adopted policies to restrict the operations or limit the aggregate number of bikes that may operate in that city. Subject to city-by-city variations, such restrictions generally may require us to register and obtain licenses for our bikes, limit the areas in which our bikes can operate, or limit the total number of bikes we can provide in a given city. Inability to expand the number of our bikes or the geographic area in which they operate could harm our business, financial condition, and operating results. We were and may continue to be subject to penalties if we are found to be in violation of local rules on bike and e-bike sharing.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Heightened tensions in international relations, particularly between the United States and China, may adversely impact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Recently there have been heightened tensions in international relations, particularly between the United States and China, but also as a result of the war in Ukraine and sanctions on Russia. These tensions have affected both diplomatic and economic ties between the two countries. Heightened tensions could reduce levels of trade, investments, technological exchanges, and other economic activities between the two major economies. The existing tensions and any further deterioration in the relationship between the United States and China may have a negative impact on the general, economic, political, and social conditions in both countries and, given our reliance on the Chinese market, adversely impact our business, financial condition, and results of operations.</w:t>
      </w:r>
    </w:p>
    <w:p>
      <w:pPr>
        <w:pStyle w:val="TextBody"/>
        <w:spacing w:before="0" w:after="240"/>
        <w:ind w:left="0" w:right="0" w:hanging="0"/>
        <w:rPr>
          <w:rFonts w:ascii="Times New Roman;Times;serif" w:hAnsi="Times New Roman;Times;serif"/>
          <w:b/>
          <w:sz w:val="20"/>
        </w:rPr>
      </w:pPr>
      <w:bookmarkStart w:id="41" w:name="RisksRelatingtoOurCorporateStructure_326"/>
      <w:bookmarkEnd w:id="41"/>
      <w:r>
        <w:rPr>
          <w:rFonts w:ascii="Times New Roman;Times;serif" w:hAnsi="Times New Roman;Times;serif"/>
          <w:b/>
          <w:sz w:val="20"/>
        </w:rPr>
        <w:t>Risks Relating to Our Corporate Structure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laws and regulations impose restrictions on foreign ownership and investment in certain internet-based businesses. We are an exempted company incorporated in the Cayman Islands and our PRC subsidiaries are considered foreign-invested enterprises. To comply with PRC laws, regulations and regulatory requirements, we set up a series of contractual arrangements entered into among some of our PRC subsidiaries, the VIEs and their shareholders to conduct some of our operations in China. For a detailed description of these contractual arrangements, see “Item 4. Information on the Company—C. Organizational Structure—Contractual Arrangements with the Variable Interest Entities”. As a result of these contractual arrangements, we consolidate the operating results of the VIEs and their subsidiaries in our financial statements under U.S. GAAP.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opinion of our PRC legal counsel, based on their understanding of the relevant PRC laws and regulations, except as disclosed in this annual report, (i) the ownership structure of our principal variable interest entity, Xiaoju Technology, and our PRC subsidiary, Beijing DiDi, currently does not and will not result in any violation of the applicable PRC laws or regulations currently in effect; and (ii) the agreements under the contractual arrangement among Beijing DiDi, Xiaoju Technology and Xiaoju Technology’s shareholders are currently valid, binding and enforceable in accordance with their terms and the applicable PRC laws or regulations currently in effect, and do not result in any violation of the applicable PRC laws or regulations currently in effect. However, we have been further advised by our PRC legal counsel that uncertainty remains because current PRC laws and regulations were recently promulgated and how they will be interpreted or implemented depends on the implementation rules to be promulgated by the relevant regulators, and further, that there are uncertainties due to possible future changes in PRC laws and regulations. Thus, the PRC government may ultimately take a view contrary to the opinion of our PRC legal counsel. If the PRC government otherwise find that we are in violation of any existing or future PRC laws or regulations or lack the necessary permits or licenses to operate our business, the relevant governmental authorities would have discretion in dealing with such violation, including, without limitation:</w:t>
      </w:r>
    </w:p>
    <w:tbl>
      <w:tblPr>
        <w:tblW w:w="6726" w:type="dxa"/>
        <w:jc w:val="left"/>
        <w:tblInd w:w="0" w:type="dxa"/>
        <w:tblCellMar>
          <w:top w:w="28" w:type="dxa"/>
          <w:left w:w="28" w:type="dxa"/>
          <w:bottom w:w="28" w:type="dxa"/>
          <w:right w:w="28" w:type="dxa"/>
        </w:tblCellMar>
      </w:tblPr>
      <w:tblGrid>
        <w:gridCol w:w="124"/>
        <w:gridCol w:w="256"/>
        <w:gridCol w:w="6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and/or operating licenses of our PRC entities;</w:t>
            </w:r>
          </w:p>
        </w:tc>
      </w:tr>
    </w:tbl>
    <w:tbl>
      <w:tblPr>
        <w:tblW w:w="2271" w:type="dxa"/>
        <w:jc w:val="left"/>
        <w:tblInd w:w="0" w:type="dxa"/>
        <w:tblCellMar>
          <w:top w:w="28" w:type="dxa"/>
          <w:left w:w="28" w:type="dxa"/>
          <w:bottom w:w="28" w:type="dxa"/>
          <w:right w:w="28" w:type="dxa"/>
        </w:tblCellMar>
      </w:tblPr>
      <w:tblGrid>
        <w:gridCol w:w="124"/>
        <w:gridCol w:w="256"/>
        <w:gridCol w:w="1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on us;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confiscating any of our income that they deem to be obtained through illegal operations, or imposing other requirements with which we or the VIEs may not be able to comply;</w:t>
            </w:r>
          </w:p>
        </w:tc>
      </w:tr>
    </w:tbl>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placing restrictions or onerous conditions on our operations;</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restrictions on our right to collect revenues;</w:t>
            </w:r>
          </w:p>
        </w:tc>
      </w:tr>
    </w:tbl>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servers or blocking our mobile app;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VIEs and deregistering the equity pledges of the VIEs, which in turn would affect our ability to consolidate the financial results of and derive economic interests from the VIEs and their subsidiaries;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from our financing activities to finance the business and operations of the VIEs and their subsidiaries; or</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of these events could cause significant disruption to our business operations and severely damage our reputation, which would in turn have a material adverse effect on our business, financial condition and results of operations. If occurrences of any of these events results in our inability to direct the activities of the VIEs and their subsidiaries that most significantly impact their economic performance, and/or our failure to receive the economic benefits and residual returns from the VIEs and their subsidiaries, and we are not able to restructure our ownership structure and operations in a satisfactory manner, we may not be able to consolidate the financial results of the VIEs and their subsidiaries in our consolidated financial statements in accordance with U.S. GAAP. In addition,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need to relinquish our interests in those operations. This in turn would likely result in a material change in our operations and our securities may decline significantly in value or become worthless.</w:t>
      </w:r>
    </w:p>
    <w:p>
      <w:pPr>
        <w:pStyle w:val="TextBody"/>
        <w:spacing w:before="0" w:after="240"/>
        <w:ind w:left="0" w:right="0" w:hanging="0"/>
        <w:rPr>
          <w:rFonts w:ascii="Times New Roman;Times;serif" w:hAnsi="Times New Roman;Times;serif"/>
          <w:b/>
          <w:i/>
          <w:sz w:val="20"/>
        </w:rPr>
      </w:pPr>
      <w:bookmarkStart w:id="42" w:name="TheDiDiPartnershipanditsrelatedarrangeme"/>
      <w:bookmarkEnd w:id="42"/>
      <w:r>
        <w:rPr>
          <w:rFonts w:ascii="Times New Roman;Times;serif" w:hAnsi="Times New Roman;Times;serif"/>
          <w:b/>
          <w:i/>
          <w:sz w:val="20"/>
        </w:rPr>
        <w:t>The DiDi Partnership and its related arrangements will impact your ability to appoint executive directors and nominate certain executive officers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memorandum and articles of association allows the DiDi Partnership to appoint executive directors and nominate and recommend candidates for certain executive officer positions of our company. The board of directors shall cause any executive director candidate duly nominated by the DiDi Partnership to be appointed and serve as an executive director of our company until expiry of his or her term, subject to removal or termination in accordance with our then-effective memorandum and articles of association. The candidates for the executive officer positions nominated by the DiDi Partnership shall stand for appointment by the board. In the event that such candidate is not appointed by the board, the DiDi Partnership may nominate a replacement nominee until the board appoints such nominee to such executive position, or until the board fails to appoint more than three such candidates nominated by the DiDi Partnership consecutively, after which time the board of directors may then nominate and appoint any person to serve in such executive position of our company after consultation with the DiDi Partnership. See “Item 6. Directors, Senior Management and Employees—A. Directors and Senior Management—DiDi Partnership”. This governance structure will limit your ability to influence corporate matters, including certain matters determined at the board level.</w:t>
      </w:r>
    </w:p>
    <w:p>
      <w:pPr>
        <w:pStyle w:val="TextBody"/>
        <w:spacing w:before="0" w:after="240"/>
        <w:ind w:left="0" w:right="0" w:hanging="0"/>
        <w:rPr>
          <w:rFonts w:ascii="Times New Roman;Times;serif" w:hAnsi="Times New Roman;Times;serif"/>
          <w:b/>
          <w:i/>
          <w:sz w:val="20"/>
        </w:rPr>
      </w:pPr>
      <w:bookmarkStart w:id="43" w:name="TheinterestsoftheDiDiPartnershipmayconfl"/>
      <w:bookmarkEnd w:id="43"/>
      <w:r>
        <w:rPr>
          <w:rFonts w:ascii="Times New Roman;Times;serif" w:hAnsi="Times New Roman;Times;serif"/>
          <w:b/>
          <w:i/>
          <w:sz w:val="20"/>
        </w:rPr>
        <w:t>The interests of the DiDi Partnership may conflict with your interests on certain matters and you may be disadvantaged.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interests of the DiDi Partnership may not always align with your interests. The partnership committee of the DiDi Partnership may make determinations as to, among other things, the allocation of the bonus pool among all partners, subject to approval of the compensation committee if such allocations are to partners who are executive officers or directors of our company. These allocations may not be entirely aligned with the interest of shareholders who are not partners. Because the partners may be largely comprised of members of our management team, the DiDi Partnership and its executive director nominees may focus on managerial strategies and decisions and operational and financial targets that may differ from the expectations and desires of shareholders. To the extent that the interests of the DiDi Partnership differ from your interests on certain matters, you may be disadvantaged.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44" w:name="ThecontractualarrangementswiththeVIEsand"/>
      <w:bookmarkEnd w:id="44"/>
      <w:r>
        <w:rPr>
          <w:rFonts w:ascii="Times New Roman;Times;serif" w:hAnsi="Times New Roman;Times;serif"/>
          <w:b/>
          <w:i/>
          <w:sz w:val="20"/>
        </w:rPr>
        <w:t>The contractual arrangements with the VIEs and their shareholders may not be as effective as direct ownership in providing operational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to rely on the contractual arrangements with the VIEs and their shareholders to operate the business in areas where foreign ownership is restricted, including provision of ride hailing services. These contractual arrangements, however, may not be as effective as direct ownership in providing us with control over the VIEs. For example, the VIEs and their shareholders could breach their contractual arrangements with us by, among other things, failing to conduct the operations of the VIEs in an acceptable manner or taking other actions that are detrimental to our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direct activities of and receive economic benefits from the VIEs and their subsidiaries. The shareholders of the VIEs may not act in the best interests of our company or may not perform their obligations under these contracts.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the VIEs or their shareholders to perform their obligations under our contractual arrangements with them would have a material and adverse effect on our business.”</w:t>
      </w:r>
    </w:p>
    <w:p>
      <w:pPr>
        <w:pStyle w:val="TextBody"/>
        <w:spacing w:before="0" w:after="240"/>
        <w:ind w:left="0" w:right="0" w:hanging="0"/>
        <w:rPr>
          <w:rFonts w:ascii="Times New Roman;Times;serif" w:hAnsi="Times New Roman;Times;serif"/>
          <w:b/>
          <w:i/>
          <w:sz w:val="20"/>
        </w:rPr>
      </w:pPr>
      <w:bookmarkStart w:id="45" w:name="AnyfailurebytheVIEsortheirshareholdersto"/>
      <w:bookmarkEnd w:id="45"/>
      <w:r>
        <w:rPr>
          <w:rFonts w:ascii="Times New Roman;Times;serif" w:hAnsi="Times New Roman;Times;serif"/>
          <w:b/>
          <w:i/>
          <w:sz w:val="20"/>
        </w:rPr>
        <w:t>Any failure by the VIEs or their shareholders to perform their obligations under our contractual arrangements with them would have a material and adverse effect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the VIEs were to refuse to transfer their equity interests in the VIEs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the VIEs, our ability to exercise shareholders’ rights or foreclose the share pledge according to the contractual arrangements may be impaired. If these or other disputes between the shareholders of the VIEs and third parties were to impair our ability to direct activities of and receive economic benefits from the VIEs and their subsidiaries, our ability to consolidate the financial results of the VIEs would be affected, which would in turn result in a material adverse effect on our business,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Uncertainties regarding the interpretation and enforcement of the relevant PRC laws and regulations could limit our ability to enforce these contractual arrangements. See “—Risks Relating to Doing Business in China—Uncertainties associated with change in or development of PRC legal system could adversely affect us.” Meanwhile, there are very few precedents and little formal guidance as to how contractual arrangements in the context of a consolidated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direct activities of and receive economic benefits from the VIEs and their subsidiaries, and our ability to conduct our business may be negatively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46" w:name="TheshareholdersoftheVIEsmayhaveactualorp"/>
      <w:bookmarkEnd w:id="46"/>
      <w:r>
        <w:rPr>
          <w:rFonts w:ascii="Times New Roman;Times;serif" w:hAnsi="Times New Roman;Times;serif"/>
          <w:b/>
          <w:i/>
          <w:sz w:val="20"/>
        </w:rPr>
        <w:t>The shareholders of the VIEs may have actual or potential conflicts of interest with us, which may adversely affect our business and financial condition.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shareholders of the VIEs may have actual or potential conflicts of interest with us. See “Item 4. Information on the Company—C. Organizational Structure—Contractual Arrangements with the Variable Interest Entities”. The shareholders of the principal VIE include Mr. Will Wei Cheng, who is the chairman of our board of directors and our chief executive officer, as well as senior management of our company or an affiliate of our company in addition to one shareholder who is an investor representative. These shareholders may breach, or cause the VIEs to breach, or refuse to renew, the existing contractual arrangements we have with them and the VIEs, which would have a material and adverse effect on our ability to direct activities of and receive economic benefits from the VIEs and their subsidiaries.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Currently, we do not have any arrangements to address potential conflicts of interest between these shareholders and our company, except that we could exercise our purchase option under the exclusive call option agreements with these shareholders to request them to transfer all of their equity interests in the VIEs to a PRC entity or individual designated by us, to the extent permitted by PRC law. We cannot assure you that such method, or any other methods that we may explore, will be effective in resolving the potential conflicts of interest between these shareholders and our company. The shareholders of the VIEs have executed powers of attorney to appoint our respective PRC subsidiaries to vote on their behalf and exercise voting rights as shareholders of the VIEs. If we cannot resolve any conflict of interest or dispute between us and the shareholders of the VIEs, we would have to rely on legal proceedings, which could result in disruption of our business and subject us to substantial uncertainty as to the outcome of any such legal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individual shareholders divorce his or her spouse, the spouse may claim that the equity interest of the VIEs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make us unable to direct activities of and receive economic benefits from the VIEs and their subsidiaries. Similarly, if any of the equity interests of the VIEs is inherited by a third party with whom the current contractual arrangements are not binding, we may be unable to direct activities of and receive economic benefits from the VIEs and their subsidiaries, or have to do so by incurring unpredictable costs, which could cause significant disruption to our business and operations and harm our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under our current contractual arrangements, (i) the spouses of some of the shareholders of the VIEs have respectively executed a spousal consent letter under which each spouse agrees not to assert any rights over the equity interest in the VIEs, and (ii) it is expressly provided that the shareholders of the VIEs shall not assign any of their respective rights or obligations with respect to their equity interests in the VIEs to any third party without the prior written consent of our PRC subsidiaries,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Contractual arrangements in relation to the VIEs may be subject to scrutiny by the PRC tax authorities and they may determine that we or the VIEs owe additional taxes, which could negatively affect our financial condition and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VIEs were not entered into on an arm’s length basis in such a way as to result in an impermissible reduction in taxes under applicable PRC laws, rules and regulations, and adjust the taxable income of the VIEs in the form of a transfer pricing adjustment. A transfer pricing adjustment could, among other things, result in a reduction of expense deductions recorded by the VIEs for PRC tax purposes, which could in turn increase their tax liabilities without reducing our PRC subsidiaries’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they are required to pay late payment fees and other penalties.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Uncertainties exist with respect to the interpretation and implementation of the PRC Foreign Investment Law and other foreign investment related laws and regulations and how they may impact our current corporate structure, corporate governance and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variable interest entity structure has been adopted by many companies which have operations in China, including us, to obtain necessary licenses and permits in the industries that are currently subject to foreign investment restrictions in China. The Ministry of Commerce published a discussion draft of the proposed Foreign Investment Law in January 2015, according to which, variable interest entities that are controlled via contractual arrangements would also be deemed as foreign-invested entities, if they are ultimately “controlled” by foreign investors. In March 2019, the National People’s Congress promulgated the Foreign Investment Law, and in December 2019, the State Council promulgated implementing rules to further clarify and elaborate the relevant provisions of the Foreign Investment Law, both of which became effective from January 1, 2020 and replaced the major existing laws and regulations governing foreign investment in the PRC. Pursuant to the Foreign Investment Law, “foreign investments” refer to investment activities conducted by foreign investors (including foreign natural persons, foreign enterprises or other foreign organizations) directly or indirectly in the PRC, and the Foreign Investment Law and the implementing rules do not introduce the concept of “control” in determining whether a company would be considered as a foreign-invested enterprise, nor do they explicitly provide whether the variable interest entity structure would be deemed as a method of foreign investment. However, the Foreign Investment Law has a catch-all provision that includes into the definition of “foreign investments” made by foreign investors in China in other methods as specified in laws, administrative regulations, or as stipulated by the State Council, and as the relevant government authorities may promulgate more laws, regulations or rules on the interpretation and implementation of the Foreign Investment Law, the possibility cannot be ruled out that the concept of “control” as stated in the 2015 draft may be embodied in, or the variable interest entity structure adopted by us may be deemed as a method of foreign investment by, any of such future laws, regulations and rules. If our consolidated VIEs were deemed as a foreign-invested enterprise under any of such future laws, regulations and rules, and any of the businesses that we operate would be in the “negative list” for foreign investment and therefore be subject to foreign investment restrictions or prohibitions, further actions required to be taken by us under such laws, regulations and rules may materially and adversely affect our business, financial condition and results of operations. Furthermore, if future laws, administrative regulations or rules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Administrative Regulations on Foreign-Invested Telecommunications Enterprises were recently amended by the State Council on April 7, 2022. The amendments took effect on May 1, 2022 and canceled the qualification requirement on the primary foreign investor in a foreign invested value-added telecommunications enterprise for having a good track record and operational experience in the value-added telecommunications industry as stipulated in the previous version. Given this new regulatory development, we may need to restructure the ownership structures of our consolidated VIEs for the purpose of having better power to direct activities of and receive economic benefits from the VIEs, or, if we decide to pursue listing on another internationally recognized stock exchange, satisfying the requirements of such stock exchange. Such restructuring will be subject to a number of uncertainties, including adjusting the contractual arrangements with the VIEs, registration of the transfer of the equity interests of our consolidated affiliated entities and their subsidiaries, registration of the new equity pledges, and obtaining additional operating permits or making amendments to our current operating permits, including the VATS Licenses. If we are unable to successfully complete the procedures involved in restructuring the ownership structure of our consolidated VIEs, or if these procedures are subsequently challenged, we may not be able to complete a future listing on another internationally recognized stock exchange as we expect, and any of these events could also cause significant disruption to our business operations, which would in turn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lose the ability to use and enjoy assets held by the VIEs that are critical to the operation of our business if the VIEs declare bankruptcy or become subject to a dissolution or liquidation proceeding.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VIEs hold certain assets that may be critical to the operation of our business. If the shareholders of the VIEs breach the contractual arrangements and voluntarily liquidate the VIEs, or if the VIEs declare bankruptcy and all or part of its assets become subject to liens or rights of third-party creditors or are otherwise disposed of without our consent, we may be unable to continue some or all of our business activities, which could materially and adversely affect our business, financial condition and results of operations. In addition, if any of the VIEs undergoes an involuntary liquidation proceeding, third-party creditors may claim rights to some or all of its assets, thereby hindering our ability to operate our business, which could materially or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Relating to Doing Business in China</w:t>
      </w:r>
    </w:p>
    <w:p>
      <w:pPr>
        <w:pStyle w:val="TextBody"/>
        <w:spacing w:before="0" w:after="240"/>
        <w:ind w:left="0" w:right="0" w:hanging="0"/>
        <w:rPr>
          <w:rFonts w:ascii="Times New Roman;Times;serif" w:hAnsi="Times New Roman;Times;serif"/>
          <w:b/>
          <w:i/>
          <w:sz w:val="20"/>
        </w:rPr>
      </w:pPr>
      <w:bookmarkStart w:id="47" w:name="ChangesanddevelopmentsinChinaseconomysoc"/>
      <w:bookmarkEnd w:id="47"/>
      <w:r>
        <w:rPr>
          <w:rFonts w:ascii="Times New Roman;Times;serif" w:hAnsi="Times New Roman;Times;serif"/>
          <w:b/>
          <w:i/>
          <w:sz w:val="20"/>
        </w:rPr>
        <w:t>Changes and developments in China’s economy, social conditions or government policies could have a material adverse effect on our business, financial conditions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large majority of our operations are located in China. Accordingly, our business, prospects, financial condition and results of operations may be affected to a significant degree by the economy, social conditions and changes in government policies in China generally. While the Chinese economy has experienced significant growth over the past decades, growth has been uneven, both geographically and among various sectors of the economy. The Chinese government has implemented various measures due to the pressure of economic growth. Some of these measures may benefit the overall Chinese economy, but may have a negative effect on us. For example, our financial condition and results of operations may be adversely affected by government control over capital investments or changes in tax regulations that are applicable to us. In addition, any prolonged slowdown in the Chinese economy may reduce the demand for our products and services and materially and adversely affect our business and results of operations.</w:t>
      </w:r>
    </w:p>
    <w:p>
      <w:pPr>
        <w:pStyle w:val="TextBody"/>
        <w:spacing w:before="0" w:after="240"/>
        <w:ind w:left="0" w:right="0" w:hanging="0"/>
        <w:rPr>
          <w:rFonts w:ascii="Times New Roman;Times;serif" w:hAnsi="Times New Roman;Times;serif"/>
          <w:b/>
          <w:i/>
          <w:sz w:val="20"/>
        </w:rPr>
      </w:pPr>
      <w:bookmarkStart w:id="48" w:name="Claimsandorregulatoryactionsagainstusrel"/>
      <w:bookmarkEnd w:id="48"/>
      <w:r>
        <w:rPr>
          <w:rFonts w:ascii="Times New Roman;Times;serif" w:hAnsi="Times New Roman;Times;serif"/>
          <w:b/>
          <w:i/>
          <w:sz w:val="20"/>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State Administration for Market Regulation, which is the anti-monopoly enforcement agency in the PRC, has in recent years strengthened enforcement under the Anti-monopoly Law, including conducting investigations and levying significant fines with respect to concentration of undertakings, cartel activity, monopoly agreements and abusive behavior by companies with market dominance. The State Administration for Market Regulation has recently imposed administrative penalties on various companies, including us, for failing to duly make filings as to their transactions subject to merger control review. In the past, we were fined for certain transactions where we did not obtain prior merger control clearance. In the future we may be subject to further fines, and may be required to make divestures or be subject to other administrative penalties if regulators determine that we have failed to make the required filings in relation to any of our historical investments and acquisitions or that any other aspects of our business practice have constituted a violation of the Anti-monopoly Law. As a result of the government’s focus on anti-monopoly and anticipated enhanced regulation of platform enterprises, our business practice and expansion strategy may be subject to heightened regulatory scrutiny.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on February 7, 2021, the Anti-monopoly Committee of the State Council promulgated the Anti-monopoly Guidelines for the Internet Platform Economy Sector, which provide further guidance on complying with the Anti-monopoly Law for companies operating in the internet industry. The guidelines expressly stipulate that any merger or acquisitions involving variable interest entities falls within the scope of merger control review if the filing thresholds are met. Under these guidelines, examples of abuse of dominance include unreasonably locking in merchants with exclusive agreements and targeting specific customers with unreasonable big-data and algorithm-driven tailored pricing.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17, 2021, the State Administration for Market Regulation issued a discussion draft of Provisions on the Prohibition of Unfair Competition on the Internet, under which business operators should not use data or algorithms to hijack traffic or influence users’ choices, or use technical means to illegally capture or use other business operators’ data. Furthermore, business operators are not allowed to (i) fabricate or spread misleading information to damage the reputation of competitors, or (ii) employ marketing practices such as fake reviews or use coupons or “red envelopes” to entice positive ratings.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24, 2022, the Standing Committee of the National People’s Congress of China decided to amend the Anti-monopoly Law. The amendment took effect on August 1, 2022. Compared with the previous Anti-monopoly Law, the amendment further provides that operators shall not abuse data, algorithms, technology, capital advantages and platform rules to engage in monopolistic behaviors that are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Following this, 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These provisions specify and refine the relevant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Besides, these provisions further emphasize that operators with dominant market positions shall not utilize data, algorithms, technologies and rules of the platform, among others, to conduct acts of abusing their dominant market positions as stipulated thereunder. For more details, see “Item 4. Information on the Company—B. Business Overview—Regulation—PRC Regulations—Regulations Relating to Anti-Monopoly”. As such provisions came into effect recently, their interpretation, implementation and enforcement remain uncertain.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order to comply with existing anti-monopoly and other laws and regulations and new anti-monopoly and other laws and regulations that may be enacted in the future, we may need to devote significant resources and efforts, including restructuring affected businesses, changing our business practice and adjusting investment activities, which may materially and adversely affect our business, growth prospects and reputation. For example, in April 2021, the State Administration for Market Regulation, together with the CAC and the State Administration of Taxation, held a meeting with more than 30 major internet companies in China, including us. All companies that participated in the meeting were required to conduct a self-inspection within one month to identify and correct possible violations of anti-monopoly, anti-unfair competition, tax and other related laws and regulations and submit their compliance commitments for public supervision. As of the date of this annual report, we have completed the self-inspection and the relevant governmental authorities have conducted onsite inspections of our company. Our self-inspection uncovered a number of areas which could be deemed problematic from the compliance perspective, including potential anti-competitive practices in certain ancillary services such as electric vehicle charging, disclosure of driver income and related policies, inaccurate marketing and promotional materials, potentially unfair pricing in the community group buying business, and failure to make filings of certain transactions subject to merger control review. We have made efforts to correct or improve the above areas to ensure compliance to the extent we can. However, we cannot assure you that we will not be subject to any penalty with respect to any violations of anti-monopoly, anti-unfair competition, pricing, advertisement, privacy protection, food safety, product quality, tax and other related laws and regulations. We expect that these areas will receive greater and continued attention and scrutiny from regulators and the general public going forward. As a result, we may be subject to additional inspections and/or investigations and may incur additional costs and expenses, devote more of our management’s attention and allocate additional resources to comply with the relevant laws and regulations and other requirements of the governmental authorities. If we are required to take any rectifying or remedial measures or are subject to any penalty, our reputation and business operations may be materially and adversely affected. Further, on May 14, 2021, the Ministry of Transport and several other regulators convened a meeting with multiple transport-related platforms in China including us, in which the regulators required those platforms to review their business practice in the areas of driver income, pricing, and related mechanisms and make rectifications to ensure transparency and fairness to platform participants, including passengers and drivers. Specifically, for the sake of transparency and fairness, the regulators required us to share information with the drivers on our platform about their income. We have been making efforts to meet the latest guidance from regulators, including issuing public letters to drivers to explain our future periodic statements to each driver setting forth details of the driver’s income with us, beginning from July 2021. We will review and modify our business practice continually to ensure compliance with regulatory requirements and guidance. However, we cannot assure you that regulators will not have further requirements, nor that the regulators will not require us to make additional changes to various aspects of our business practice. Claims and/or regulatory actions against us related to various aspects of our business practice may result in our being subject to fines, constraints on or modification of our business practice, damage to our reputation, and material adverse impact on our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lawsuits, regulatory investigations or administrative proceedings relating to anti-monopoly, anti-unfair competition, pricing, advertisement, privacy protection or other matters initiated against us could also result in our being subject to regulatory actions and constraints on our completed or future investments and acquisitions, which could include forced termination of any agreements or transactions that may be determined by governmental authorities to be in violation of anti-monopoly laws or the relevant filing requirements, required divestitures, limitations on certain pricing and business practices and/or significant fines. As a result, we may be subject to significant difficulties in operating our current business and pursuing our investment and acquisition strategy. Any of the above circumstances could materially and adversely affect our business, operations, reputation and brand.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49" w:name="ThePRCgovernmenthasjurisdictionoverourbu"/>
      <w:bookmarkEnd w:id="49"/>
      <w:r>
        <w:rPr>
          <w:rFonts w:ascii="Times New Roman;Times;serif" w:hAnsi="Times New Roman;Times;serif"/>
          <w:b/>
          <w:i/>
          <w:sz w:val="20"/>
        </w:rPr>
        <w:t>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our business primarily through our PRC subsidiaries, the VIEs and their subsidiaries in China. Our operations and business development are governed by PRC laws and regulations. The PRC government has jurisdiction over our business operations and may exercise discretion pursuant to PRC laws and regulations. If we fail to comply with applicable PRC laws, regulations or regulatory requirements, our operations and value of our securities may be materially affected. See “Item 3. Key Information—D. Risk Factors—Risks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and “—Risks Relating to Doing Business in China—Claims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Also, the PRC government has recently promulgated new or draft laws and regulations to exert further oversight and control over offerings that are conducted overseas and/or foreign investment in China-based issuers.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“—Risks Relating to Doing Business in China—We may be required to obtain approval or subject to filing or other requirements from the CSRC or other PRC governmental authorities for any future listing or other financing activities.” As such, we may be required to obtain approval and complete filings or other administrative procedures with the PRC government for any future offshore offerings that we may conduct. However, we may be unable to obtain such approval or complete such filings or other administrative procedures in a timely manner, and therefore face adverse consequences under the relevant laws and regulations. In the past year, we fully cooperated with the PRC government authorities on the cybersecurity review and rectification measures. On January 16, 2023, as approved by the Cybersecurity Review Office, we have resumed DiDi Chuxing’s registration of new users. See “Item 3. Key Information—Permissions Required from the PRC Authorities for Our Securities Offerings and Operations—Update on Cybersecurity Review and Rectification.” However, there are uncertainties with respect to whether we will become subject to any new cybersecurity review in the future and if we are unable to complete such new review and the relevant rectification, the growth and usage of our platform in China may decline, which could materially and adversely affect our business, financial condition, results of operations and prospects. Any such circumstance could significantly limit or completely hinder our ability to continue to offer securities to investors and cause the value of such securities to significantly decline or be worthless. In addition, there may be changes or developments in PRC laws, regulations and policies or in the interpretation and application of existing laws, regulations and policies applicable to our industry. See “Item 3. Key Information—D. Risk Factors—Doing Business in China—Uncertainties associated with change in or development of PRC legal system could adversely affect us.” As a result, investors of our company and our business may face potential uncertainty.</w:t>
      </w:r>
    </w:p>
    <w:p>
      <w:pPr>
        <w:pStyle w:val="TextBody"/>
        <w:spacing w:before="0" w:after="240"/>
        <w:ind w:left="0" w:right="0" w:hanging="0"/>
        <w:rPr>
          <w:rFonts w:ascii="Times New Roman;Times;serif" w:hAnsi="Times New Roman;Times;serif"/>
          <w:b/>
          <w:i/>
          <w:sz w:val="20"/>
        </w:rPr>
      </w:pPr>
      <w:bookmarkStart w:id="50" w:name="Uncertaintiesassociatedwithchangeinordev"/>
      <w:bookmarkEnd w:id="50"/>
      <w:r>
        <w:rPr>
          <w:rFonts w:ascii="Times New Roman;Times;serif" w:hAnsi="Times New Roman;Times;serif"/>
          <w:b/>
          <w:i/>
          <w:sz w:val="20"/>
        </w:rPr>
        <w:t>Uncertainties associated with change in or development of PRC legal system could adversely affect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legal system is evolving rapidly. Although we have taken measures to comply with the laws and regulations applicable to our business operations and to avoid conducting any non-compliant activities under these laws and regulations, the PRC governmental authorities may continue to promulgate new laws and regulations regulating our business. Moreover, developments in our industry may lead to further amendments and improvements in PRC laws, regulations and policies, and uncertainty remains concerning the interpretation and implementation of newly promulgated laws, regulations and policies. As a result, we may be required by the regulators to upgrade the licenses or permits we have obtained, to obtain additional licenses, permits, approvals, to complete additional filings or registrations for the services we provide, or to modify our business practices. Any failure to upgrade, obtain or maintain such licenses, permits, filings or approvals or requirement to modify our business practices may subject us to various penalties, including, among others, the confiscation of revenues and imposition of fines. We cannot assure you that our business operations would not be deemed to violate any existing or future PRC laws or regulations, which in turn may limit or restrict us, and could materially and adversely affect our business and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However, since PRC judicial and administrative authorities have certain discretion in interpreting and implementing statutory and contractual terms, it may be difficult to predict the outcome of a judicial or administrative proceeding. These uncertainties may impede our ability to enforce the contracts we have entered into and could materially and adversely affect our business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The PCAOB had historically been unable to inspect our auditor in relation to their audit work</w:t>
      </w:r>
      <w:r>
        <w:rPr>
          <w:rFonts w:ascii="Times New Roman;Times;serif" w:hAnsi="Times New Roman;Times;serif"/>
          <w:sz w:val="20"/>
        </w:rPr>
        <w:t xml:space="preserve"> </w:t>
      </w:r>
      <w:r>
        <w:rPr>
          <w:rFonts w:ascii="Times New Roman;Times;serif" w:hAnsi="Times New Roman;Times;serif"/>
          <w:b/>
          <w:i/>
          <w:sz w:val="20"/>
        </w:rPr>
        <w:t>performed for our financial statements and the inability of the PCAOB to conduct inspections of our auditor in the past has deprived our investors with the benefits of such inspections.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spacing w:before="0" w:after="240"/>
        <w:ind w:left="0" w:right="0" w:hanging="0"/>
        <w:rPr>
          <w:rFonts w:ascii="Times New Roman;Times;serif" w:hAnsi="Times New Roman;Times;serif"/>
          <w:b/>
          <w:i/>
          <w:sz w:val="20"/>
        </w:rPr>
      </w:pPr>
      <w:bookmarkStart w:id="51" w:name="ThePCAOBhadhistoricallybeenunabletoinspe"/>
      <w:bookmarkEnd w:id="51"/>
      <w:r>
        <w:rPr>
          <w:rFonts w:ascii="Times New Roman;Times;serif" w:hAnsi="Times New Roman;Times;serif"/>
          <w:b/>
          <w:i/>
          <w:sz w:val="20"/>
        </w:rPr>
        <w:t>Our ADSs may be prohibited from trading in the United States under the HFCAA in the future if the PCAOB is unable to inspect or investigate completely auditors located in China. A prohibition on the trading of the ADSs, or the threat of a prohibition on trading, may materially and adversely affect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in the over-the-counter trading market in the United States.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June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in the United States if we are identified as a Commission-Identified Issuer for two consecutive years in the future. If that happens and we are unable or have not yet listed on a non-U.S. exchange and a market does not develop outside of the United States, your ability to sell or purchase our securities when you wish to do so would be substantially impaired, which would have a negative impact on the price of our securities. Also, such circumstances would significantly affect our ability to raise capital on terms acceptable to us, or at all, which would have a material adverse impact on our business, financial condition,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 litigation and negative publicity surrounding China-based companies listed in the United States may negatively impact the trading price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recent litigation and negative publicity surrounding companies with operations in China that are listed in the United States have negatively impacted the stock prices of these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pStyle w:val="TextBody"/>
        <w:spacing w:before="0" w:after="240"/>
        <w:ind w:left="0" w:right="0" w:hanging="0"/>
        <w:rPr>
          <w:rFonts w:ascii="Times New Roman;Times;serif" w:hAnsi="Times New Roman;Times;serif"/>
          <w:b/>
          <w:i/>
          <w:sz w:val="20"/>
        </w:rPr>
      </w:pPr>
      <w:bookmarkStart w:id="52" w:name="Wemayrelyondividendsandotherdistribution"/>
      <w:bookmarkEnd w:id="52"/>
      <w:r>
        <w:rPr>
          <w:rFonts w:ascii="Times New Roman;Times;serif" w:hAnsi="Times New Roman;Times;serif"/>
          <w:b/>
          <w:i/>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Cayman Islands holding company and we rely principally on dividends and other distributions on equity from our PRC subsidiary for our cash requirements, including the funds necessary to pay dividends and other cash distributions to our shareholders for services of any debt we may incur. If our PRC subsidiary incurs debt on its own behalf in the future, the instruments governing the debt may restrict its ability to pay dividends or make other distributions to us. Under PRC laws and regulations, our PRC subsidiary, which is a foreign-owned enterprise, may pay dividends only out of its respective accumulated profits as determined in accordance with PRC accounting standards and regulations. In addition, a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Some of our subsidiaries are required to allocate general risk reserves prior to the distribution of dividends.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PRC subsidiaries generate essentially all of their revenues in Renminbi, which is not freely convertible into other currencies. As a result, any restriction on currency exchange may limit the ability of our PRC subsidiary to use their Renminbi revenues to pay dividends to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may continue to strengthen its capital controls, and more restrictions and a more substantial vetting process may be put forward by the State Administration of Foreign Exchange, or SAFE, for cross-border transactions falling under either or both the current account and the capital account.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Information—Cash and Asset Flows through Our Organization.”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Increases in labor costs and enforcement of stricter labor laws and regulations in China may adversely affect our business and our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average wage in China has increased in recent years and is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 Furthermore, if the drivers on our platform believe that their earnings on our platform are not competitive with wages that they can earn elsewhere, either with competitors or in other lines of work, we may have to increase their earnings to ensure an adequate supply of drivers on our platform, and we may be unable to pass that cost on to riders. In addition, if drivers on our platform are reclassified as employees instead of independent contractors, our labor costs will be substantially increased, which could adversely affect our business and results of operations. See also “—Risk Relating to Our Business—Our business would be adversely affected if drivers were classified as employees, workers or quasi-employees”.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Labor Contract Law and its implementation rules, employers are subject to stricter requirements in terms of signing labor contracts, minimum wages, paying remuneration and statutory benefits, determining the term of employee’s probation and unilaterally terminating labor contracts. In addition, enterprises are forbidden to force laborers to work beyond the time limit and employers shall pay laborers for overtime work in accordance with the laws and regulations.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date, inflation in China has not materially impacted our results of operations. According to the National Bureau of Statistics of China, the year-over-year percent changes in the consumer price index for December 2020, 2021 and 2022 were increases of 0.2%, 1.5% and 1.8%, respectively. Although we have not been materially affected by inflation in the past, we may be affected by higher rates of inflation in China in the future, particularly if it affects labor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engage independent third-party service providers to recruit certain third-party workers at our request, such as customer service professionals, and to settle payment of service fees to such third-party service providers for us. However, we cannot preclude the possibility that these workers supplied by third-party service providers may be classified as “dispatched workers” by courts, arbitration tribunals or government agencies. In December 2012, the Labor Contract Law was amended and in January 2014, the Interim Provisions on Labor Dispatch was promulgated, to impose more stringent requirements on the use of employees of temp agencies, who are known in China as “dispatched workers”. For example, the number of dispatched workers may not exceed a certain percentage of the total number of employees and the dispatched workers can only engage in temporary, auxiliary or substitutable work. If we are found to be in violation of any requirements under the Labor Contract Law, the Interim Provisions on Labor Dispatch or their related rules and regulations, we may be ordered by the labor authority to rectify the non-compliance by entering into written employment contracts with the deemed “dispatched workers”, or be subject to regulatory penalty, other sanction or liability or be subject to labor disputes.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on July 16, 2021, the Ministry of Human Resources and Social Security, the National Development and Reform Commission, the Ministry of Transport, together with several other governmental authorities jointly promulgated Guiding Opinions on Safeguarding the Rights and Interests of Labors in New Forms of Employment, which require, among others, platform enterprises adopting labor outsourcing and other cooperative labor methods to undertake corresponding responsibilities in accordance with laws and regulations when labors’ rights and interests are damaged, call for organizing and launching pilot programs for occupational injury protection of flexible employment personnel, focusing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 On November 17, 2021, the Ministry of Transport, the National Development and Reform Commission, the CAC and certain other governmental authorities jointly promulgated the Opinions on Strengthening the Protection of the Rights and Interests of Labors in New Forms of Transportation Industry, which provide that the relevant departments shall urge online ride hailing platform enterprises to announce pricing rules and income distribution rules to relevant parties such as drivers and passengers. The total amount paid by the passengers and the remuneration of the driver, and the ratio of the difference between the aforementioned amounts to the total amount paid by the passengers shall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If we are deemed to have violated relevant labor laws and regulations, we could be required to provide additional compensation to our employees and our business, financial condition and results of operations will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cannot assure you that our practices will be deemed to be in compliance with the abovementioned employee benefit plan requirements in all aspects. For example, certain of our PRC subsidiaries and VIEs engage third-party human resources agencies to make social insurance and housing fund contributions for some of their employees, and there is no assurance that such third party agencies have made or will make such contributions in a full or in a timely manner. The relevant PRC authorities may require us to pay, or in the case of any shortfalls, to cover, such social insurance and housing fund contributions. We may also become subject to fines and legal sanctions due to any failure to make social insurance and housing fund contributions for our employees. Companies operating in China are also required to withhold individual income tax on employees’ salaries based on the actual salary of each employee upon payment. With respect to the underpaid employee benefits, we may be required to complete registrations, make up the contributions for these plans as well as to pay late fees and fines. With respect to the under-withheld individual income tax, we may be required to make up sufficient withholding and pay late fees and fines. If we are subject to late fees or fines in relation to the underpaid employee benefits and under-withheld individual income tax, our financial condition and results of operations may be adversely affected. We may also be subject to regulatory investigations and other penalties if our other employment practices are deemed to be in violation of relevant PRC laws and regulations.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Failure to comply with PRC laws and regulations on leased property may expose us to potential fines and negatively affect our ability to use the properties we lease.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of our leasehold interests in leased properties have not been registered with the relevant PRC government authorities as required by PRC law, which may expose us to potential fines if we fail to remediate after receiving any notice from the relevant PRC government authorities. Furthermore, a few of our lessors have mortgaged the properties that we are renting. In the event that these properties are foreclosed on due to the lessors’ failure to perform their obligations to the creditors, we may not be able to continue to use such leased properties and may incur additional expenses for relocation.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lessors are required to comply with various laws and regulations to enable them to have effective titles of their properties to lease for our use. For instance, properties used for business operations and the underlying land should be approved for commercial use purposes by competent government authorities. Failure to do so may subject the lessors to monetary fines or other penalties and may lead to the invalidation or termination of our leases by competent government authorities, and therefore may adversely affect our ability to use the leased properties. In addition, certain lessors of our leased properties have not provided us with valid property ownership certificates or any other documentation proving their right to lease those properties to us. If our lessors are not the owners of the properties or they have not obtained consents from the owners or their lessors or permits from the relevant government authorities, our leases could be invalidated.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any of our leases is terminated as a result of challenges by third parties or governmental authorities for lack of title certificates or proof of authorization to lease, we do not expect to be subject to any fines or penalties, but we may be forced to relocate the affected offices and incur additional expenses relating to such relocation.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 and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government policies may impact exchange rates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significant appreciation or depreciation of Renminbi may materially and adversely affect our revenues, earnings and financial position, and the value of dividends payable on, our ADSs in U.S. dollars. For example, to the extent that we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large majority of our revenues is denominated in Renminbi, while we hold much of our cash and cash equivalents and time deposits in currencies other than Renminbi, including particularly the U.S. dollar. Fluctuations in the exchange rate between the Renminbi and other currencies, particularly the U.S. dollar, will affect the relative purchasing power in Renminbi of our cash and cash equivalents. Fluctuations in the exchange rate may also cause us to incur foreign exchange losses and affect the relative value of any dividend issued by our subsidiaries in China. In addition, appreciation or depreciation in the value of the Renminbi relative to the U.S. dollar would affect our financial results in U.S. dollar terms without giving effect to any underlying change in our business or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To date, we have not entered into any hedging transactions to reduce our exposure to foreign currency exchange risk. While we may decide to enter into additional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regulation of loans to and direct investment in PRC entities by offshore holding companies and governmental control of currency conversion may delay or prevent us from using our cash and cash equivalents to make loans or additional capital contributions to our PRC subsidiary, the VIEs and their subsidiaries, which could materially and adversely affect our liquidity and our ability to fund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an offshore holding company conducting our operations in China through our PRC subsidiaries, the VIEs and their subsidiaries. We may make loans to our PRC subsidiaries, the VIEs and their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Most of these ways are subject to PRC regulations and approvals or registration. For example, loans by us to our wholly owned PRC subsidiary to finance its activities cannot exceed statutory limits and must be registered with the local counterpart of SAFE. If we decide to finance our wholly owned PRC subsidiary by means of capital contributions, these capital contributions are subject to registration with the State Administration for Market Regulation or its local branch, reporting of foreign investment information with the Ministry of Commerce, or registration with other governmental authorities in China. Due to the restrictions imposed on loans in foreign currencies extended to PRC domestic companies, we are not likely to make such loans to the VIEs, which are PRC domestic companies. Further, we are not likely to finance the activities of the VIEs by means of capital contributions due to regulatory restrictions relating to foreign investment in PRC domestic enterprises engaged in certain businesses.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SAFE promulgated the Notice of the State Administration of Foreign Exchange on Reforming the Administration of Foreign Exchange Settlement of Capital of Foreign-invested Enterprises, or SAFE Circular 19, effective June 2015, according to which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SAFE subsequently issued several circulars in the following years to provide additional guidelines on the use by foreign invested enterprises of the income under their capital accounts generated from their capital, foreign debt and overseas listing. However, the interpretation and enforcement of SAFE Circular 19 and other circulars remain subject to uncertainty and potential future policy changes from SAFE.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VIEs or future capital contributions by us to our PRC subsidiaries. As a result, uncertainties exist as to our ability to provide prompt financial support to our PRC subsidiaries or VIEs when needed. If we fail to complete such registrations or obtain such approvals, our ability to use our cash and cash equivalents and to capitalize or otherwise fund our PRC operations may be negatively affected, which could materially and adversely affect our liquidity and our ability to fund and expand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 and affect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imposes controls on the convertibility of the RMB into foreign currencies and, in certain cases, the remittance of currency out of China. We receive a large majority of our revenues in RMB. Under our current corporate structure, our company in the Cayman Islands may rely on dividend payments from our PRC subsidiary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wholly foreign-owned subsidiaries in China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But approval from or registration with appropriate government authorities or delegated banks is required where RMB is to be converted into foreign currency and remitted out of China to pay capital expenses such as the repayment of loans denominated in foreign currencies. The PRC government may also restrict access in the future to foreign currencies for current account transactions when it deems necessary. If the foreign exchange control system prevents us from obtaining sufficient foreign currencies to satisfy our foreign currency demands, we may not be able to pay dividends in foreign currencies to our shareholders, including holders of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regulations relating to offshore investment activities by PRC residents may limit our PRC subsidiary’s ability to increase their registered capital or distribute profits to us or otherwise expose us or our PRC resident beneficial owners to liability and penalties under PRC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purposes)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 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 The PRC residents shall, by themselves or entrusting accounting firms or banks, file with the online information system designated by SAFE with respect to its existing rights under offshore direct investment each year prior to the requisite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not be fully informed of the identities of all the PRC residents or entities holding direct or indirect interest in our company, nor can we compel our shareholders or beneficial owners to comply with SAFE registration requirements. We cannot assure you that all shareholders or beneficial owners of ours who are PRC residents or entities have complied with, and will in the future make, obtain or update any applicable registrations or approvals required by, SAFE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failure or inability of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to us or affect our ownership structure. As a result, our business operations and our ability to distribute profits to you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M&amp;A Rules and certain other PRC regulations may make it more difficult for us to pursue growth through acquisitions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Regulations on Mergers and Acquisitions of Domestic Companies by Foreign Investors, or the M&amp;A Rules, adopted by six PRC regulatory agencies in 2006 and amended in 2009, and some other regulations and rules concerning mergers and acquisitions established complex procedures and requirements for acquisition of Chinese companies by foreign investors, including requirements in some instances that the Ministry of Commerce of the PRC be notified in advance of any change-of-control transaction in which a foreign investor takes control of a PRC domestic enterprise. Moreover, the Anti-monopoly Law promulgated by the Standing Committee of the National People’s Congress requires that transactions which are deemed concentrations and involve parties with specified turnover thresholds must be cleared by the anti-monopoly enforcement agency before they can be completed. In addition, the Measures for the Security Review of Foreign Investment promulgated by the National Development and Reform Commission and the Ministry of Commerce in December 2020 specify that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governmental authorities in advance.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future, we may pursue potential strategic acquisitions that are complementary to our business and operations. Complying with the requirements of the above-mentioned regulations and other rules to complete such transactions could be time-consuming, and any required approval processes may delay or inhibit our ability to complete such transactions, which could affect our ability to expand our business or maintain our market share. Furthermore, according to the M&amp;A Rules, if a PRC entity or individual plans to merge or acquire its related PRC entity through an overseas company legitimately incorporated or controlled by such entity or individual, such a merger and acquisition will be subject to examination and approval by the Ministry of Commerce. There is a possibility that the PRC regulators may promulgate new rules or explanations requiring that we obtain the approval of the Ministry of Commerce or other PRC governmental authorities for our completed or ongoing mergers and acquisitions. There is no assurance that we can obtain such approval from the Ministry of Commerce or any other relevant PRC governmental authorities for our mergers and acquisitions, and if we fail to obtain those approvals, we may be required to suspend our acquisition and be subject to penalties. Any uncertainties regarding such approval requirements could have a material adverse effect on our business, results of operations and corporate structure.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required to obtain approval or subject to filing or other requirements from the CSRC or other PRC governmental authorities for any future listing or other financing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M&amp;A Rules require overseas special purpose vehicles that are controlled by PRC companies or individuals formed for the purpose of seeking a public listing on an overseas stock exchange through acquisitions of PRC domestic companies using shares of such special purpose vehicles or held by their shareholders as considerations to obtain the approval of the CSRC prior to the listing and trading of such special purpose vehicle’s securities on an overseas stock exchange. However, the application of the M&amp;A Rules remains unclear. Furthermore, on February 17, 2023, the CSRC promulgated the Trial Administrative Measures of the Overseas Securities Offering and Listing by Domestic Companies, or the Overseas Listing Trial Measures, and relevant five guidelines, which became effective on March 31, 2023. Under these new rules, PRC domestic companies that seek to offer and list securities in overseas markets (including the circumstance where the PRC domestic company intends to reissue and list overseas after delisting from overseas exchanges, including being delisted to the over-the-counter market), either directly or indirectly, are required to fulfill the filing procedure with the CSRC and report relevant information. As the Overseas Listing Trial Measures and the related guidelines were newly promulgated, there remain uncertainty regarding their implementation and interpretation and we cannot predict whether or how these new rules may impact our company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share-based awards are subject to these regulations. Failure to complete the SAFE registrations may subject them to fines and legal sanctions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subsidiary has obligations to file documents related to employee share options or restricted shares with relevant tax authorities and to withhold individual income taxes of those employees who exercise their share options or are granted restricted share. If our employees fail to pay or we fail to withhold their income taxes according to relevant laws and regulations, we may face sanctions imposed by the tax authorities or other PRC government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 or ADS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Enterprise Income Tax Law and its implementation rules, an enterprise established outside of the PRC with a “de facto management body” within the PRC is considered a PRC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uncertainties with respect to indirect transfers of equity interests in PRC resident enterprises by their non-PRC holding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uncertainties regarding the reporting on and consequences of previous private equity financing transactions involving the transfer and exchange of shares in our company by non-resident investors. In February 2015, the State Administration of Taxation issued the Bulletin on Issues of Enterprise Income Tax on Indirect Transfers of Assets by Non-PRC Resident Enterprises or SAT Bulletin 7. Pursuant to SAT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October 17, 2017, the State Administration of Taxation issued the Announcement of the State Administration of Taxation on Issues Concerning the Withholding of Non-resident Enterprise Income Tax at Source, or SAT Bulletin 37, which came into effect on December 1, 2017. SAT Bulletin 37 further clarifies the practice and procedure of the withholding of non-resident enterprise income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Bulletin 7 and SAT Bulletin 37, and may be required to expend valuable resources to comply with these bulletins or to establish that we and our non-resident enterprises should not be taxed under these bulletins, which may have a material adverse effect on our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tax authorities have the discretion under SAT Bulletin 7 to make adjustments to the taxable capital gains based on the difference between the fair value of the taxable assets transferred and the cost of investment. If the PRC tax authorities make adjustments to the taxable income of the transactions under SAT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PRC law, legal documents for corporate transactions are executed using the chops or seal of the signing entity or with the signature of a legal representative whose designation is registered and filed with the relevant branch of the Administration for Market Regulation. Although we usually utilize chops to enter into contracts, the designated legal representatives of our PRC subsidiaries, the VIEs and their subsidiaries have the apparent authority to enter into contracts on behalf of these entities without chops and bind the entities. The designated legal representatives of our PRC entities have signed employment agreements with us or these PRC entities under which they agree to abide by various duties. In order to maintain the physical security of our chops and chops of our PRC entities, we generally store these items in secured locations accessible only by the authorized personnel in the administrative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our PRC entities, we or our PRC entities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entities may not be able to recover corporate assets that are sold or transferred out of our control in the event of such a misappropriation if a transferee relies on the apparent authority of the representative and acts in good faith.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discontinuation of the preferential income tax treatment currently available to us in the PRC could have a material and adverse effect on our result of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PRC Enterprise Income Tax Law, as further clarified by subsequent implementing tax regulations, foreign-invested enterprises and domestic enterprises are subject to enterprise income tax at a uniform rate of 25%. Certain enterprises may benefit from a preferential tax rate of 15% under the Enterprise Income Tax Law if they qualify as “High and New Technology Enterprises strongly supported by the state,” subject to certain general factors described in the Enterprise Income Tax Law and the related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One of our subsidiaries, Beijing DiDi Infinity Technology and Development Co., Ltd., which we refer to as Beijing DiDi, is entitled to enjoy a preferential tax rate of 15%, due to its qualification as a High and New Technology Enterprise. This status will expire in 2025 unless renewed. The High and New Technology Enterprise qualification is re-assessed by the relevant authorities every three years, and if the subsidiary fails to renew its High and New Technology Enterprise qualification, the enterprise income tax rate applicable to it will increase to 25%. See “Item 5. Operating And Financial Review and Prospects—A. Operating Results—Taxation—China.”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discontinuation of the above-mentioned preferential income tax treatment currently available to us in the PRC could have a material and adverse effect on our result of operations and financial condition. We cannot assure you that we will be able to maintain our current effective tax rate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Relating to Our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delisting of our ADSs from NYSE may continue to have a material adverse effect on the trading and price of our ADSs, and we cannot assure you that our ADSs will be relisted on any other internationally recognized stock exchange, or that if they are ever relisted, they will remain listed.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May 23, 2022, we held an extraordinary general meeting to vote on the voluntary delisting of our ADSs from the NYSE and obtained the shareholder approval. On June 13, 2022, our ADSs were delisted from the NYSE. The delisting of our ADSs from the NYSE has had and may continue to have a material adverse effect on us by, among other things, causing investors to dispose of our ADSs and limiting the ADSs’ liquidity, the market price of our ADSs, the number of potential investors, the availability of trading information, the number of broker-dealers and our ability to obtain financing.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lack of an active trading market may limit the liquidity of an investment in our ADSs, meaning you may not be able to sell our ADSs you own at times, or at prices, attractive to you. Any of these factors may materially and adversely affect the price of our ADSs. In addition, we may be subject to shareholder lawsuits and regulatory proceedings in the United States, Cayman Islands and elsewhere, that arise from our decision to delist our ADS from the NYSE. Our reputation and credibility may be harmed and we may have to incur significant expenses to defend ourselves in any legal or regulatory proceeding brought against us, the outcome of which is uncertain and may have material and adverse impact on our business, financial condition, results of operations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trading price of our ADSs is likely to be volatile, which could result in substantial losses to investors.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price of our ADSs has declined since our initial public offering in the United States, when our ADSs were listed on the NYSE, and the trading price is likely to be volatile.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 of the securities of these Chinese companies may affect the attitudes of investors toward Chinese companies listed in the United States in general and consequently may impact the trading performance of our ADSs, regardless of our actual operating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May 23, 2022, we held an extraordinary general meeting to vote on the voluntary delisting of our ADSs from the NYSE and obtained the shareholder approval. On June 2, 2022, we filed a Form 25 Notification of Delisting and our ADSs were delisted from the NYSE on June 13, 2022. Our ADSs have been quoted on OTC Pink under the symbol “DIDIY” since June 2022. The OTC Market is a significantly more limited market than NYSE.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market and industry factors, the price and trading volume for our ADSs may be highly volatile for factors specific to our own company, including the following:</w:t>
      </w:r>
    </w:p>
    <w:tbl>
      <w:tblPr>
        <w:tblW w:w="2886" w:type="dxa"/>
        <w:jc w:val="left"/>
        <w:tblInd w:w="0" w:type="dxa"/>
        <w:tblCellMar>
          <w:top w:w="28" w:type="dxa"/>
          <w:left w:w="28" w:type="dxa"/>
          <w:bottom w:w="28" w:type="dxa"/>
          <w:right w:w="28" w:type="dxa"/>
        </w:tblCellMar>
      </w:tblPr>
      <w:tblGrid>
        <w:gridCol w:w="124"/>
        <w:gridCol w:w="25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delisting from the NYSE;</w:t>
            </w:r>
          </w:p>
        </w:tc>
      </w:tr>
    </w:tbl>
    <w:tbl>
      <w:tblPr>
        <w:tblW w:w="8091" w:type="dxa"/>
        <w:jc w:val="left"/>
        <w:tblInd w:w="0" w:type="dxa"/>
        <w:tblCellMar>
          <w:top w:w="28" w:type="dxa"/>
          <w:left w:w="28" w:type="dxa"/>
          <w:bottom w:w="28" w:type="dxa"/>
          <w:right w:w="28" w:type="dxa"/>
        </w:tblCellMar>
      </w:tblPr>
      <w:tblGrid>
        <w:gridCol w:w="124"/>
        <w:gridCol w:w="256"/>
        <w:gridCol w:w="7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revenues, earnings, cash flow, or key operating metrics;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projections we may provide to securities analysts and/or the public, any changes in those projections and any failure to meet those projections;</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services, solutions, products by us or our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projections or targets published or otherwise provided to investors by securities analysts or any failure by us to meet those targets or the expectations of investors;</w:t>
            </w:r>
          </w:p>
        </w:tc>
      </w:tr>
    </w:tbl>
    <w:tbl>
      <w:tblPr>
        <w:tblW w:w="6006" w:type="dxa"/>
        <w:jc w:val="left"/>
        <w:tblInd w:w="0" w:type="dxa"/>
        <w:tblCellMar>
          <w:top w:w="28" w:type="dxa"/>
          <w:left w:w="28" w:type="dxa"/>
          <w:bottom w:w="28" w:type="dxa"/>
          <w:right w:w="28" w:type="dxa"/>
        </w:tblCellMar>
      </w:tblPr>
      <w:tblGrid>
        <w:gridCol w:w="124"/>
        <w:gridCol w:w="256"/>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services or our industry;</w:t>
            </w:r>
          </w:p>
        </w:tc>
      </w:tr>
    </w:tbl>
    <w:tbl>
      <w:tblPr>
        <w:tblW w:w="6756" w:type="dxa"/>
        <w:jc w:val="left"/>
        <w:tblInd w:w="0" w:type="dxa"/>
        <w:tblCellMar>
          <w:top w:w="28" w:type="dxa"/>
          <w:left w:w="28" w:type="dxa"/>
          <w:bottom w:w="28" w:type="dxa"/>
          <w:right w:w="28" w:type="dxa"/>
        </w:tblCellMar>
      </w:tblPr>
      <w:tblGrid>
        <w:gridCol w:w="124"/>
        <w:gridCol w:w="256"/>
        <w:gridCol w:w="6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regulations, rules or policies relevant to our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846" w:type="dxa"/>
        <w:jc w:val="left"/>
        <w:tblInd w:w="0" w:type="dxa"/>
        <w:tblCellMar>
          <w:top w:w="28" w:type="dxa"/>
          <w:left w:w="28" w:type="dxa"/>
          <w:bottom w:w="28" w:type="dxa"/>
          <w:right w:w="28" w:type="dxa"/>
        </w:tblCellMar>
      </w:tblPr>
      <w:tblGrid>
        <w:gridCol w:w="124"/>
        <w:gridCol w:w="256"/>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3801" w:type="dxa"/>
        <w:jc w:val="left"/>
        <w:tblInd w:w="0" w:type="dxa"/>
        <w:tblCellMar>
          <w:top w:w="28" w:type="dxa"/>
          <w:left w:w="28" w:type="dxa"/>
          <w:bottom w:w="28" w:type="dxa"/>
          <w:right w:w="28" w:type="dxa"/>
        </w:tblCellMar>
      </w:tblPr>
      <w:tblGrid>
        <w:gridCol w:w="124"/>
        <w:gridCol w:w="256"/>
        <w:gridCol w:w="3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additional equity securities; and</w:t>
            </w:r>
          </w:p>
        </w:tc>
      </w:tr>
    </w:tbl>
    <w:tbl>
      <w:tblPr>
        <w:tblW w:w="5166" w:type="dxa"/>
        <w:jc w:val="left"/>
        <w:tblInd w:w="0" w:type="dxa"/>
        <w:tblCellMar>
          <w:top w:w="28" w:type="dxa"/>
          <w:left w:w="28" w:type="dxa"/>
          <w:bottom w:w="28" w:type="dxa"/>
          <w:right w:w="28" w:type="dxa"/>
        </w:tblCellMar>
      </w:tblPr>
      <w:tblGrid>
        <w:gridCol w:w="124"/>
        <w:gridCol w:w="256"/>
        <w:gridCol w:w="47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or actual litigation or regulatory investigations.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or other factors may result in large and sudden changes in the volume and price at which our ADSs will trade.</w:t>
      </w:r>
    </w:p>
    <w:p>
      <w:pPr>
        <w:pStyle w:val="TextBody"/>
        <w:spacing w:before="0" w:after="240"/>
        <w:ind w:left="0" w:right="0" w:hanging="0"/>
        <w:rPr>
          <w:rFonts w:ascii="Times New Roman;Times;serif" w:hAnsi="Times New Roman;Times;serif"/>
          <w:b/>
          <w:i/>
          <w:sz w:val="20"/>
        </w:rPr>
      </w:pPr>
      <w:bookmarkStart w:id="53" w:name="Youmayfacedifficultiesinprotectingyourin"/>
      <w:bookmarkEnd w:id="53"/>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an exempted company with limited liability incorporated under the laws of the Cayman Islands. Our corporate affairs are governed by our memorandum and articles of association, as amended from time to time, the Companies Act (As Revised) of the Cayman Islands, or the Companies Act, and the common law of the Cayman Islands. The rights of shareholders to take action against our directors, actions by our minority shareholders and the fiduciary duties of our directors owed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owed to us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(other than copies of the memorandum and articles of association, the register of mortgages and charges, any special resolutions passed by our shareholders, and a list of our current directors)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“Item 10. Additional information—B. Memorandum and Articles of Association—Differences in Corporate Law”.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China against us or our management named in this annual report based on foreign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an exempted company incorporated under the laws of the Cayman Islands. However, we conduct the vast majority of our operations in China. In addition, all of our directors and senior executive officers reside within China for at least a significant portion of the time. As a result, it may be difficult for you to effect service of process upon us or our management residing in China. It may also be difficult for you to enforce in U.S. courts of the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recognition and enforcement of foreign judgments are provided for under the Civil Procedures Law. PRC courts may recognize and enforce foreign judgments in accordance with the requirements of the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It may be difficult for overseas regulators to conduct investigation or collect evidence within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which became effective in March 2020, no overseas securities regulator is allowed to directly conduct investigations or collect evidence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PRC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the inability for an overseas securities regulator to directly conduct investigations or collect evidence within China may further increase difficulties faced by you in protecting your interests. See also “—You may face difficulties in protecting your interests, and your ability to protect your rights through U.S. courts may be limited, because we are incorporated under Cayman Islands law” for risks associated with investing in us as a Cayman Islands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market price and trading volume for our ADSs may be adversely affected by the decisions of securities or industry analysts.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market for our ADSs will be influenced by the research that securities or industry analysts publish about us or our business. If analysts do not establish or maintain research coverage of us, or if analysts downgrade our ADSs or publish unfavorable research about our business, the market price for our ADSs would likely decline. If analysts cease coverage of our company or fail to publish research on us regularly, we could lose visibility in the financial markets, which, in turn, could cause the market price or trading volume for our ADSs to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reported financial results may be adversely affected by changes in accounting principles.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could result in changes to our financial statements, including changes in revenues and expenses in any period, or in certain categories of revenues and expenses moving to different periods, may result in materially different financial results, and may require that we change how we process, analyze, and report financial information and our financial reporting controls.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required, pursuant to Section 404 of the Sarbanes-Oxley Act, to furnish a report by management on, among other things, the effectiveness of our internal control over financial reporting for the year ended December 31, 2022. In 2022, our management, with the participation of our chief executive officer and chief financial officer, conducted an evaluation of the effectiveness of our company’s internal control over financial reporting as of December 31, 2022. Based on this evaluation, we did not note or identify any deficiencies that we believe to be material weaknesses as of December 31, 2022. In addition, our independent registered public accounting firm must attest to and report on the effectiveness of our internal control over financial reporting. Our independent registered public accounting firm has issued an attestation report, which has concluded that as of December 31, 2022, our internal control over financial reporting was effective. We are required to disclose changes in internal control over financial reporting that have materially affected, or are reasonably likely to materially affect, our internal control over financial reporting on an annual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compliance with Section 404 requires that we incur substantial accounting expense and expend significant management efforts. In addition, as our business continues to grow in size and complexity, we are improving our processes and infrastructure to help ensure we can prepare financial reporting and disclosures within the timeline required. We may need to hire additional accounting and financial staff with appropriate experience and technical accounting knowledge to compile the system and process documentation necessary to perform the evaluation needed to comply with Section 404. In addition, prior to completing our internal control assessment under Section 404, we may become aware of and disclose material weaknesses that will require timely remediation. Due to our significant growth, we face challenges in timely and appropriately designing controls in response to evolving risks of material misstatement. During the evaluation and testing process of our internal controls, if we identify one or more material weaknesses in our internal control over financial reporting, we will be unable to assert that our internal control over financial reporting is effective.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assure you that there will not be material weaknesses in our internal control over financial reporting in the future. Any failure to maintain internal control over financial reporting could severely inhibit our ability to accurately report our financial condition or operating results.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ADSs could decline, and we could be subject to sanctions or investigations by the SEC or other regulatory authorities.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dual-class voting structure will limit your ability to influence corporate matters and could discourage others from pursuing any change of control transactions that holders of our Class A ordinary shares and ADSs may view as beneficial.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authorized share capital is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The holders of Class B ordinary shares have the ability to control most matters requiring shareholders’ approval.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If certain of the holders of Class B ordinary shares convert their Class B ordinary shares into Class A ordinary shares, the remaining holders who retain their Class B ordinary shares may experience increases in their relative voting power.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the ordinary shares held by Xiaocheng Investments Limited, Investor Link Investments Limited and Steady Prominent Limited were converted into Class B ordinary shares upon the closing of our initial public offering in July 2021. Steady Prominent is ultimately wholly owned by a trust. The advisory committee of the trust, the current members of which are Mr. Will Wei Cheng and Ms. Jean Qing Liu, has the sole power to make all decisions relating to the voting and disposal of the shares held by Steady Prominent. Mr. Cheng and Ms. Liu have agreed to certain voting arrangements in connection with their respective voting power over the shares held by Steady Prominent. As of February 28, 2023, Mr. Will Wei Cheng and Ms. Jean Qing Liu beneficially own in terms of voting power of all of our issued Class B ordinary shares. These Class B ordinary shares constitute 9.7% of our total issued and outstanding share capital and 51.7% of the aggregate voting power of our total issued and outstanding share capital as of February 28, 2023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election of directors and other significant corporate actions. Such holders may take actions that are not in our best interests or the best interests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currently do not expect to pay dividends in the foreseeable future and you must rely on price appreciation of our ADSs for return on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their value. You may not realize a return on your investment in our ADSs and you may even lose your entire investment in our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There can be no assurance that we will not be a passive foreign investment company, or PFIC, for United States federal income tax purposes, for any taxable year, which could subject United States investors in our ADSs or ordinary shares to significant adverse United States federal income tax consequences.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such as our company, will be classified as a passive foreign investment company, or PFIC, for any taxable year if either (1) at least 75% of its gross income for such year consists of certain types of “passive” income; or (2) at least 50% of the value of its assets (generally determined on the basis of a quarterly average) during such year is attributable to assets that produce passive income or are held for the production of passive income (the “asset test”). Although the law in this regard is not entirely clear, we treat the VIEs and their subsidiaries as being owned by us for U.S. federal income tax purposes because we consolidate their results of operations in our consolidated U.S. GAAP financial statements as we have the power to direct activities of the VIEs that most significantly impact their economic performance and the right to receive economic benefits from the VIEs that could potentially be significant to them. If it were determined, however, that we are not the owner of the VIEs and their subsidiaries for U.S. federal income tax purposes, we may be treated as a PFIC for the current taxable year and any subsequent taxable year. Assuming that we are the owner of the VIEs and their subsidiaries for U.S. federal income tax purposes, and based on the value of our assets and the composition of our income and assets, including goodwill and other unbooked intangibles, our company does not appear to be a PFIC for our taxable year ended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can be no assurance that we will not be a PFIC, for U.S. federal income tax purposes, for any taxable year because the determination of whether we are or will become a PFIC for any taxable year is a fact-intensive determination made annually that depends, in part, upon the composition and classification of our income and assets. Fluctuations in the market price of our ADSs may cause us to be or become a PFIC for the current or subsequent taxable years because the value of our assets for purposes of the asset test, including the value of our goodwill and other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The composition of our income and assets may also be affected by how, and how quickly, we use our liquid assets. If we determine not to deploy significant amounts of cash or other passive assets for active purposes, our risk of being a PFIC may substantially increase. Because there are uncertainties in the application of the relevant rules (including recently proposed regulations), it is also possible that the Internal Revenue Service may challenge our classification of certain assets as non-passive, which may result in our company being or becoming a PFIC, for U.S. federal income tax purposes, for any taxable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were to be or become a PFIC for any taxable year during which a U.S. Holder (as defined in “Item 10. Additional Information—E. Taxation—United States Federal Income Tax Considerations”) holds our ADSs or ordinary shares, certain adverse U.S. federal income tax consequences could apply to such U.S. Holder. Further, if we are a PFIC for any year during which a U.S. Holder holds our ADSs or ordinary shares, we generally will continue to be treated as a PFIC for all succeeding years during which such U.S. Holder holds our ADSs or ordinary shares, unless we were to cease to be a PFIC and the U.S. Holder were to make a “deemed sale” election with respect to the ADSs or ordinary shares. For more information, see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ordinary shares and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of which may be greater than the rights associated with our Class A ordinary shares in the form of ADSs.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memorandum and articles of association provide that the federal district courts of the United States are the exclusive forum within the United States (or, if the United States District Court for the Southern District of New York lacks subject matter jurisdiction over a particular dispute, the state courts in New York County, New York) for the resolution of any complaint asserting a cause of action arising out of or relating in any way to the federal securities laws of the United States, regardless of whether such legal suit, action, or proceeding also involves parties other than us.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with the depositary bank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 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experience dilution of your holdings due to inability to participate in rights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attempt to sell these undistributed rights to third parties, but it is not required to do so, and it may allow the rights to lapse. We may be unable to establish an exemption from registration under the Securities Act, and we are under no obligation to file a registration statement with respect to such rights or underlying securities or to endeavor to have a registration statement declared effective. Accordingly, holders of ADSs may be unable to participate in our rights offerings and may experience dilution of their holdings as a result.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not receive cash dividends if the depositary decides it is impractical to make them available to you.</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will pay cash dividends on the ADSs only to the extent that we decide to distribute dividends on our ordinary shares or other deposited securities, and we do not have any plans to pay any cash dividends on our ordinary shares in the foreseeable future. To the extent that there is a distribution, the depositary of our ADSs has agreed to pay you the cash dividends or other distributions that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the value of certain distributions may be less than the cost of mailing them. In these cases, the depositary may decide not to distribute such property to you.</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United States domestic public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governing the release of material nonpublic information under Regulation FD; and</w:t>
            </w:r>
          </w:p>
        </w:tc>
      </w:tr>
    </w:tbl>
    <w:tbl>
      <w:tblPr>
        <w:tblW w:w="7671" w:type="dxa"/>
        <w:jc w:val="left"/>
        <w:tblInd w:w="0" w:type="dxa"/>
        <w:tblCellMar>
          <w:top w:w="28" w:type="dxa"/>
          <w:left w:w="28" w:type="dxa"/>
          <w:bottom w:w="28" w:type="dxa"/>
          <w:right w:w="28" w:type="dxa"/>
        </w:tblCellMar>
      </w:tblPr>
      <w:tblGrid>
        <w:gridCol w:w="124"/>
        <w:gridCol w:w="256"/>
        <w:gridCol w:w="7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audit committee independence requirements in Rule 10A-3 of the Exchange Act.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As an exempted company incorporated in the Cayman Islands and not listed on any stock exchange, our corporate governance practices may differ significantly from those of companies incorporated in Delaware or in other states in the United States or those of companies listed on a stock exchange, and these practices may afford less protection to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an exempted company with limited liability incorporated under the laws of the Cayman Islands and not currently listed on any stock exchange. As a Cayman Islands exempted company, we are subject to the Companies Act (As Revised) of the Cayman Islands, which to a large extent is modeled after the older Companies Acts of England but does not follow recent English statutory enactments. See “Item 10. Additional information—B. Memorandum and Articles of Association—Differences in Corporate Law” for a summary of certain significant differences between the provisions of the Companies Act applicable to us and the laws applicable to companies incorporated in the state of Delaware and their shareholders. In addition, as an exempted company, we are exempted from certain requirements of the Companies Act, including the requirement to hold an annual general meeting. See “Item 10. Additional information—B. Memorandum and Articles of Association—Ordinary Shares—Differences in Corporate Law—Exempted Company”. Furthermore, as we are not currently listed on any stock exchange, we are not subject to any listing rules or listing standards. To the extent that we continue to follow the NYSE corporate governance listing standards that were previously applicable to us, we may stop following any or all of those listing standards at any time at the discretion of our board of directors or management, as the case may be. Our corporate governance practices may afford shareholders less protection than they would otherwise enjoy under Delaware law or under the corporate governance listing standards of the NYSE, the Nasdaq Stock Market or other stock exchanges.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voting rights of holders of ADSs are limited by the terms of the deposit agreement, and you may not be able to exercise your right to direct how the Class A ordinary shares which are represented by your ADSs are voted.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Under our memorandum and articles of association, the minimum notice period required to be given by our company to our registered shareholders to convene a general meeting will be ten calendar days.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 Except in limited circumstances, the depositary for our ADSs will give us a discretionary proxy to vote the underlying Class A ordinary shares represented by your ADSs if you do not vote at shareholders’ meetings, which could adversely affect your interests.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entitled to amend the deposit agreement and to change the rights of ADS holders under the terms of such agreement, or to terminate the deposit agreement, without the prior consent of the ADS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entitled to amend the deposit agreement and to change the rights of the ADS holders under the terms of the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in connection with foreign exchange control regulations, taxes and other governmental charges, and delivery and other such expenses) or materially prejudice an existing substantial right of the ADS holders, ADS holders will only receive 30 days’ advance notice of the amendment, and no prior consent of the ADS holders is required under the deposit agreement for the amendment to take effect. Furthermore, we may decide to terminate the deposit agreement and thus the ADS facility at any time for any reason. For example, we may terminate the ADS facility if we decide to list our shares on a non-U.S. securities exchange and determine not to continue to sponsor an ADS facility or if we become the subject of a takeover or a going-private transaction. If the ADS facility will terminate, ADS holders will receive at least 90 days’ prior notice, but no prior consent is required from the ADS holders. Under circumstances where we decide to make an amendment to the deposit agreement that is disadvantageous to ADS holders or terminate the deposit agreement, the ADS holders may choose to sell their ADSs or surrender their ADSs and become direct holders of the underlying Class A ordinary shares, but they will have no right to any compensation whatsoever.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 which could result in less favorable outcomes to the plaintiff(s) in any such action.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 ADS holder’s right to pursue claims against the depositary is limited by the terms of the deposit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deposit agreement, the United States District Court of the Southern District of New York (or, if the United States District Court of the Southern District of New York lacks subject matter jurisdiction over a particular dispute, the state courts of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Southern District of New York lacks jurisdiction or such designation of the exclusive forum is, or becomes, invalid, illegal, or unenforceable, in the state courts of New York County, New York), and a holder of our ADSs will have irrevocably waived any objection which such holder may have to the laying of venue of any such proceeding, and irrevocably submitted to the exclusive jurisdiction of such courts in any such suit, action, or proceeding.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may, in its sole discretion, require that any dispute or difference arising from the relationship created by the deposit agreement, our shares, the ADSs, or the transactions contemplated thereby be referred to and finally settled by an arbitration conducted under the terms described in the deposit agreement, while to the extent there are specific federal securities law violation aspects to any claims against us and/or the depositary brought by any holder or beneficial owner of ADSs, the federal securities law violation aspects of such claims may, at the option of such holders or beneficial owners, remain in the United States District Court for the Southern District of New York (or, if the United States District Court for the Southern District of New York lacks subject matter jurisdiction over a particular dispute or such designation of the exclusive forum is, or becomes, invalid, illegal, or unenforceable, in the state courts of New York County in New York). We believe that a contractual arbitration provision, especially when excluding matters relating to federal securities law violation, is generally enforceable, including under the laws of the State of New York, which govern the deposit agreement.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depositary for the ADSs will give us a discretionary proxy to vote the Class A ordinary shares underlying the ADSs if the ADS holders do not vote at shareholders’ meetings, except in limited circumstances, which could adversely affect your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deposit agreement for the ADSs, if an ADS holder does not vote, the depositary will give us a discretionary proxy to vote the ordinary shares underlying the ADSs at shareholders’ meetings unless:</w:t>
      </w:r>
    </w:p>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8106" w:type="dxa"/>
        <w:jc w:val="left"/>
        <w:tblInd w:w="0" w:type="dxa"/>
        <w:tblCellMar>
          <w:top w:w="28" w:type="dxa"/>
          <w:left w:w="28" w:type="dxa"/>
          <w:bottom w:w="28" w:type="dxa"/>
          <w:right w:w="28" w:type="dxa"/>
        </w:tblCellMar>
      </w:tblPr>
      <w:tblGrid>
        <w:gridCol w:w="124"/>
        <w:gridCol w:w="256"/>
        <w:gridCol w:w="7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may have a material adverse impact on shareholders; or</w:t>
            </w:r>
          </w:p>
        </w:tc>
      </w:tr>
    </w:tbl>
    <w:tbl>
      <w:tblPr>
        <w:tblW w:w="5316" w:type="dxa"/>
        <w:jc w:val="left"/>
        <w:tblInd w:w="0" w:type="dxa"/>
        <w:tblCellMar>
          <w:top w:w="28" w:type="dxa"/>
          <w:left w:w="28" w:type="dxa"/>
          <w:bottom w:w="28" w:type="dxa"/>
          <w:right w:w="28" w:type="dxa"/>
        </w:tblCellMar>
      </w:tblPr>
      <w:tblGrid>
        <w:gridCol w:w="124"/>
        <w:gridCol w:w="25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at the meeting is to be made on a show of hands.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54" w:name="Item4InformationontheCompany_668773"/>
      <w:bookmarkStart w:id="55" w:name="_581cb6f0_2876_4f19_a898_fbc9acb276bc"/>
      <w:bookmarkStart w:id="56" w:name="Item4InformationontheCompany_668773"/>
      <w:bookmarkStart w:id="57" w:name="_581cb6f0_2876_4f19_a898_fbc9acb276bc"/>
      <w:bookmarkEnd w:id="56"/>
      <w:bookmarkEnd w:id="57"/>
    </w:p>
    <w:tbl>
      <w:tblPr>
        <w:tblW w:w="3317" w:type="dxa"/>
        <w:jc w:val="left"/>
        <w:tblInd w:w="0" w:type="dxa"/>
        <w:tblCellMar>
          <w:top w:w="0" w:type="dxa"/>
          <w:left w:w="0" w:type="dxa"/>
          <w:bottom w:w="0" w:type="dxa"/>
          <w:right w:w="0" w:type="dxa"/>
        </w:tblCellMar>
      </w:tblPr>
      <w:tblGrid>
        <w:gridCol w:w="706"/>
        <w:gridCol w:w="261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4.</w:t>
            </w:r>
          </w:p>
        </w:tc>
        <w:tc>
          <w:tcPr>
            <w:tcW w:w="26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Information on the Company</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commenced our operations in 2012 through Xiaoju Technology and launched our DiDi Dache app to provide taxi hailing services. Xiaoju Technology established a variety of subsidiaries in China to engage in mobility services. In January 2013, Xiaoju Science and Technology Limited was incorporated in the Cayman Islands as our holding company. In February 2015, we changed the name of our company to Xiaoju Kuaizhi Inc. in connection with our acquisition of Kuaidi. In June 2021, we further renamed our company as DiDi Global Inc.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our key business development milestones:</w:t>
      </w:r>
    </w:p>
    <w:tbl>
      <w:tblPr>
        <w:tblW w:w="10205" w:type="dxa"/>
        <w:jc w:val="left"/>
        <w:tblInd w:w="0" w:type="dxa"/>
        <w:tblCellMar>
          <w:top w:w="0" w:type="dxa"/>
          <w:left w:w="0" w:type="dxa"/>
          <w:bottom w:w="0" w:type="dxa"/>
          <w:right w:w="0" w:type="dxa"/>
        </w:tblCellMar>
      </w:tblPr>
      <w:tblGrid>
        <w:gridCol w:w="886"/>
        <w:gridCol w:w="326"/>
        <w:gridCol w:w="8993"/>
      </w:tblGrid>
      <w:tr>
        <w:trPr/>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2610" cy="29210"/>
                      <wp:effectExtent l="0" t="0" r="0" b="0"/>
                      <wp:wrapNone/>
                      <wp:docPr id="117" name="Frame116"/>
                      <a:graphic xmlns:a="http://schemas.openxmlformats.org/drawingml/2006/main">
                        <a:graphicData uri="http://schemas.microsoft.com/office/word/2010/wordprocessingShape">
                          <wps:wsp>
                            <wps:cNvSpPr txBox="1"/>
                            <wps:spPr>
                              <a:xfrm>
                                <a:off x="0" y="0"/>
                                <a:ext cx="562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29210"/>
                      <wp:effectExtent l="0" t="0" r="0" b="0"/>
                      <wp:wrapNone/>
                      <wp:docPr id="118" name="Frame117"/>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710555" cy="29210"/>
                      <wp:effectExtent l="0" t="0" r="0" b="0"/>
                      <wp:wrapNone/>
                      <wp:docPr id="119" name="Frame118"/>
                      <a:graphic xmlns:a="http://schemas.openxmlformats.org/drawingml/2006/main">
                        <a:graphicData uri="http://schemas.microsoft.com/office/word/2010/wordprocessingShape">
                          <wps:wsp>
                            <wps:cNvSpPr txBox="1"/>
                            <wps:spPr>
                              <a:xfrm>
                                <a:off x="0" y="0"/>
                                <a:ext cx="571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Timeline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89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Event</w:t>
            </w:r>
          </w:p>
        </w:tc>
      </w:tr>
      <w:tr>
        <w:trPr/>
        <w:tc>
          <w:tcPr>
            <w:tcW w:w="886" w:type="dxa"/>
            <w:tcBorders>
              <w:top w:val="single" w:sz="2" w:space="0" w:color="000000"/>
            </w:tcBorders>
            <w:shd w:fill="CCEEFF"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2012</w:t>
            </w:r>
          </w:p>
        </w:tc>
        <w:tc>
          <w:tcPr>
            <w:tcW w:w="326" w:type="dxa"/>
            <w:tcBorders/>
            <w:shd w:fill="CCEEFF" w:val="clear"/>
            <w:vAlign w:val="center"/>
          </w:tcPr>
          <w:p>
            <w:pPr>
              <w:pStyle w:val="TableContents"/>
              <w:spacing w:before="0" w:after="0"/>
              <w:ind w:left="0" w:right="0" w:hanging="0"/>
              <w:jc w:val="both"/>
              <w:rPr/>
            </w:pPr>
            <w:r>
              <w:rPr/>
              <w:t>​</w:t>
            </w:r>
          </w:p>
        </w:tc>
        <w:tc>
          <w:tcPr>
            <w:tcW w:w="8993" w:type="dxa"/>
            <w:tcBorders>
              <w:top w:val="single" w:sz="2" w:space="0" w:color="000000"/>
            </w:tcBorders>
            <w:shd w:fill="CCEEFF"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commenced taxi hailing services.</w:t>
            </w:r>
          </w:p>
        </w:tc>
      </w:tr>
      <w:tr>
        <w:trPr/>
        <w:tc>
          <w:tcPr>
            <w:tcW w:w="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2014</w:t>
            </w:r>
          </w:p>
        </w:tc>
        <w:tc>
          <w:tcPr>
            <w:tcW w:w="326" w:type="dxa"/>
            <w:tcBorders/>
            <w:shd w:fill="auto" w:val="clear"/>
            <w:vAlign w:val="center"/>
          </w:tcPr>
          <w:p>
            <w:pPr>
              <w:pStyle w:val="TableContents"/>
              <w:spacing w:before="0" w:after="0"/>
              <w:ind w:left="0" w:right="0" w:hanging="0"/>
              <w:jc w:val="both"/>
              <w:rPr/>
            </w:pPr>
            <w:r>
              <w:rPr/>
              <w:t>​</w:t>
            </w:r>
          </w:p>
        </w:tc>
        <w:tc>
          <w:tcPr>
            <w:tcW w:w="899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introduced ride hailing services. We have expanded our ride hailing services over the years and provide a comprehensive range of services that cater to different budgets and needs today.</w:t>
            </w:r>
          </w:p>
        </w:tc>
      </w:tr>
      <w:tr>
        <w:trPr/>
        <w:tc>
          <w:tcPr>
            <w:tcW w:w="88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2015</w:t>
            </w:r>
          </w:p>
        </w:tc>
        <w:tc>
          <w:tcPr>
            <w:tcW w:w="326" w:type="dxa"/>
            <w:tcBorders/>
            <w:shd w:fill="CCEEFF" w:val="clear"/>
            <w:vAlign w:val="center"/>
          </w:tcPr>
          <w:p>
            <w:pPr>
              <w:pStyle w:val="TableContents"/>
              <w:spacing w:before="0" w:after="0"/>
              <w:ind w:left="0" w:right="0" w:hanging="0"/>
              <w:jc w:val="both"/>
              <w:rPr/>
            </w:pPr>
            <w:r>
              <w:rPr/>
              <w:t>​</w:t>
            </w:r>
          </w:p>
        </w:tc>
        <w:tc>
          <w:tcPr>
            <w:tcW w:w="899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acquired Kuaidi and rebranded our app to </w:t>
            </w:r>
            <w:r>
              <w:rPr>
                <w:rFonts w:ascii="Times New Roman;Times;serif" w:hAnsi="Times New Roman;Times;serif"/>
                <w:i/>
                <w:sz w:val="20"/>
              </w:rPr>
              <w:t>DiDi Chuxing</w:t>
            </w:r>
            <w:r>
              <w:rPr>
                <w:rFonts w:ascii="Times New Roman;Times;serif" w:hAnsi="Times New Roman;Times;serif"/>
                <w:sz w:val="20"/>
              </w:rPr>
              <w:t>.</w:t>
            </w:r>
          </w:p>
        </w:tc>
      </w:tr>
      <w:tr>
        <w:trPr/>
        <w:tc>
          <w:tcPr>
            <w:tcW w:w="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2016</w:t>
            </w:r>
          </w:p>
        </w:tc>
        <w:tc>
          <w:tcPr>
            <w:tcW w:w="326" w:type="dxa"/>
            <w:tcBorders/>
            <w:shd w:fill="auto" w:val="clear"/>
            <w:vAlign w:val="center"/>
          </w:tcPr>
          <w:p>
            <w:pPr>
              <w:pStyle w:val="TableContents"/>
              <w:spacing w:before="0" w:after="0"/>
              <w:ind w:left="0" w:right="0" w:hanging="0"/>
              <w:jc w:val="both"/>
              <w:rPr/>
            </w:pPr>
            <w:r>
              <w:rPr/>
              <w:t>​</w:t>
            </w:r>
          </w:p>
        </w:tc>
        <w:tc>
          <w:tcPr>
            <w:tcW w:w="899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acquired Uber China and also began investing in autonomous driving.</w:t>
            </w:r>
          </w:p>
        </w:tc>
      </w:tr>
      <w:tr>
        <w:trPr/>
        <w:tc>
          <w:tcPr>
            <w:tcW w:w="88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2018</w:t>
            </w:r>
          </w:p>
        </w:tc>
        <w:tc>
          <w:tcPr>
            <w:tcW w:w="326" w:type="dxa"/>
            <w:tcBorders/>
            <w:shd w:fill="CCEEFF" w:val="clear"/>
            <w:vAlign w:val="center"/>
          </w:tcPr>
          <w:p>
            <w:pPr>
              <w:pStyle w:val="TableContents"/>
              <w:spacing w:before="0" w:after="0"/>
              <w:ind w:left="0" w:right="0" w:hanging="0"/>
              <w:jc w:val="both"/>
              <w:rPr/>
            </w:pPr>
            <w:r>
              <w:rPr/>
              <w:t>​</w:t>
            </w:r>
          </w:p>
        </w:tc>
        <w:tc>
          <w:tcPr>
            <w:tcW w:w="899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launched our energy and vehicle services. We also expanded into Brazil, followed by Mexico, and then into other countries.</w:t>
            </w:r>
          </w:p>
        </w:tc>
      </w:tr>
      <w:tr>
        <w:trPr/>
        <w:tc>
          <w:tcPr>
            <w:tcW w:w="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both"/>
              <w:rPr/>
            </w:pPr>
            <w:r>
              <w:rPr/>
              <w:t>​</w:t>
            </w:r>
          </w:p>
        </w:tc>
        <w:tc>
          <w:tcPr>
            <w:tcW w:w="899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launched the D1, our purpose-built electric vehicle for shared mobility, in cooperation with a leading electric vehicle manufacturer. </w:t>
            </w:r>
          </w:p>
        </w:tc>
      </w:tr>
      <w:tr>
        <w:trPr/>
        <w:tc>
          <w:tcPr>
            <w:tcW w:w="88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jc w:val="both"/>
              <w:rPr/>
            </w:pPr>
            <w:r>
              <w:rPr/>
              <w:t>​</w:t>
            </w:r>
          </w:p>
        </w:tc>
        <w:tc>
          <w:tcPr>
            <w:tcW w:w="899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ADSs commenced trading on the NYSE under the symbol “DIDI”. </w:t>
            </w:r>
          </w:p>
        </w:tc>
      </w:tr>
      <w:tr>
        <w:trPr/>
        <w:tc>
          <w:tcPr>
            <w:tcW w:w="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jc w:val="both"/>
              <w:rPr/>
            </w:pPr>
            <w:r>
              <w:rPr/>
              <w:t>​</w:t>
            </w:r>
          </w:p>
        </w:tc>
        <w:tc>
          <w:tcPr>
            <w:tcW w:w="899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Our ADSs were delisted from the NYSE.</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Major Transactions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Acquisition of Kuaidi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February 2015, we acquired Kuaidi through a merger agreement entered into between DiDi and Kuaidi pursuant to which Kuaidi was merged with and into DiDi, with DiDi continuing as the surviving company. Kuaidi was mainly engaged in the business of providing taxi hailing services in China. Under the merger agreement, all issued and outstanding ordinary and preferred shares of each of Kuaidi and DiDi were cancelled and exchanged into the applicable number and type of shares in DiDi.</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Acquisition of Uber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2016, we acquired Uber (China) Ltd., or Uber China, in exchange for our issuance of our Series B-1 preferred shares in DiDi. Uber China was mainly engaged in the business of providing taxi hailing services in China. In connection with the transaction, DiDi agreed to purchase certain Series G preferred shares in Uber for an aggregate cash consideration of US$1 billion within six months after the closing of the transaction and Uber committed to issue to DiDi a warrant that entitles DiDi to purchase certain Series G preferred shares of Uber upon the closing of DiDi’s share purchase in Uber. DiDi’s share purchase in Uber for a consideration of US$1 billion and Uber’s issuance of the warrant to DiDi were completed in February 2017. In January 2018, the warrant was forfeited. In May 2019, Uber became a public company listed on the NYSE, and the preferred shares we held in Uber were converted to ordinary shares. In November and December 2020, we disposed all the shares we held in Uber.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Acquisition of 99 Taxis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January to June 2017, we purchased certain preferred shares of 99 Taxis, a company engaged in the business of providing ride hailing services in Brazil, for an aggregate consideration of US$37.5 million in cash. In August 2017, we purchased certain Series A and Series B preferred shares of 99 Taxis in secondary transactions for a total consideration of US$39.9 million. In January 2018, we entered into transaction agreements with 99 Taxis, to acquire all of the outstanding ordinary shares and preferred shares of 99 Taxis not owned by our company, for cash consideration of US$343.7 million and by issuing our Series B-2 preferred shares with a fair value of US$222.4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Listing on the NYSE and Delisting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30, 2021, we listed our ADSs on the NYSE under the symbol “DIDI”. Our initial public offering in the United States was completed on July 2, 2021. We raised approximately US$4.3 billion in net proceeds from our initial public offering, after deducting underwriting commissions and the offering expenses payable by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May 23, 2022, we held an extraordinary general meeting to vote on the voluntary delisting of our ADSs from the NYSE and obtained the shareholder approval. On June 2, 2022, we filed a Form 25 Notification of Delisting and our ADSs were delisted from the NYSE on June 13, 2022. Our ADSs have been quoted on OTC Pink under the symbol “DIDIY” since June 2022, without our involvement. We will continue to explore appropriate measures in the interest of our company and our shareholders, including exploring a potential listing on another internationally recognized exchange, subject to compliance with applicable rules, regulations, policies and guidance.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Subsidiary Financings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of our subsidiaries have issued securities in the course of their fundraising activities. Pursuant to the terms of such securities issuances, we may be obliged to redeem certain of the securities issued by our subsidiaries for cash and/or shares in our company. The following is a summary of our obligations.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Soda Series A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February to July 2020, our subsidiary that is engaged in the bike and e-bike sharing business, Soda Technology Inc., a Cayman Islands exempted company, or Soda, issued, in connection with its Series A funding round, (i) Series A-1 preferred shares to Cayman Soda Limited, an investment entity controlled by Softbank Group Corp., and certain other investors for a total consideration of US$134.0 million, and (ii) Series A-2 preferred shares to us for a total consideration of US$750.0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connection with the Soda Series A funding round, we granted Cayman Soda Limited a one-off exit right with respect to its Soda A-1 preferred shares, exercisable upon the fourth anniversary of the closing of Cayman Soda Limited’s subscription for its Soda A-1 preferred shares, or upon the earliest occurrence of certain other exit events on or before the sixth anniversary of the closing of Cayman Soda Limited’s subscription for its Soda A-1 preferred shares, including a change of control (such as by merger or asset sale under certain conditions) or the registered public offering by Soda of its ordinary shares. If Cayman Soda Limited exercises its exit right, we will be obliged to repurchase the Soda A-1 preferred shares it holds at the time of the applicable exit event (or, if the exit event is an IPO of Soda, pay pursuant to a true-up mechanism), with the amount of cash to be determined according to pre-agreed pricing formula. In addition, we have also granted certain of Soda’s Series A investors (other than Cayman Soda Limited) a one-off exit right, exercisable if we cease to own 50% of the Soda shares we held at the time the closing of the applicable investor’s subscription, or if Soda has not consummated a qualified IPO by the fifth anniversary of the closing of the applicable investor’s subscription, subject to certain exceptions. If such investors exercise their exit right, we will be obliged to repurchase their Soda A-1 preferred shares in cash at a purchase price to be determined according to pre-agreed pricing formula.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amount of cash that may be paid upon the exercise of Soda’s Series A investors’ exit rights are not determinable at this time and will depend, among others, on the extent to which Cayman Soda Limited elects to exchange its Soda A-1 preferred shares for cash, as well as the value ascribed to the Soda Series A preferred shares held by Soda’s Series A investors at the time of and by the applicable exit event.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Soda Series B Preferred Shares and 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2021, Soda has issued, in connection with its Series B funding round, (i) Series B-1 preferred shares to certain investors for a total consideration of US$80.0 million, (ii) Series B-2 preferred shares to us for a total consideration of US$300.0 million, and we currently hold 86.8% of its total equity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granted certain Soda Series B investors a one-off exit right with respect to its Soda B-1 preferred shares, exercisable upon the earliest occurrence of certain exit events before the fourth or fifth anniversaries of the closing of their respective subscription for its Soda Series B securities, including a change of control (such as by merger or asset sale under certain conditions) or the consummation of an IPO of Soda. If the applicable investor exercises its exit right, we will be obliged to repurchase in cash the Soda B-1 preferred shares it holds at the time of the exit event at a purchase price to be determined according to pre-agreed pricing formula.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Voyager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February and October 2020, our subsidiary that is engaged in the development and commercialization of autonomous vehicles, Voyager Group Inc., a Cayman Islands exempted company, or Voyager, issued, in connection with its Series A funding round, Series A preferred shares to SVF II Voyager (Singapore) Pte. Ltd., an entity controlled by Softbank Group Corp., certain other investors and us for a total consideration of US$525.0 million. We currently hold 70.4% of its total equity interests.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Chengxin Preferred Shares and Convertible Note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March 2021, our subsidiary that is engaged in our community group buying business, Chengxin Technology Inc., a Cayman Islands exempted company, or Chengxin, entered into a series of agreements and issued, in connection with its Series A-1 and A-2 funding rounds, (i) its Series A-1 preferred shares to SVF II Staples Subco (Singapore) Pte Ltd, an investment entity controlled by Softbank Group Corp., and certain other investors for a total consideration of US$0.9 billion, (ii) Series A-2 preferred shares to an investment entity held by certain members of our senior management, for a total consideration of US$200.0 million, and (iii) a zero-coupon convertible note due 2028 in the aggregate principal amount of US$3.0 billion to us. To finance the purchase of its Chengxin A-2 preferred shares, the management investment entity entered into secured term loans with Chengxin’s A-1 round investors for a total of US$160.0 million, which was fully drawn down upon on the same date. In April and May 2021, Chengxin issued additional Series A-1 preferred shares to certain investors for a total consideration of US$0.1 billion.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Considering the continuous adverse impact on Chengxin’s operating and financial performance in 2022, the shareholders of Chengxin considered that it would be in the best interests of Chengxin and its shareholders not to continue to operate the community group buying business. Therefore, Chengxin’s shareholders and board resolved to distribute all of its available assets to its shareholders, in accordance with the distribution sequences outlined in the relevant agreements. As a shareholder of Chengxin, we received our share of Chengxin’s assets of RMB1.9 billion upon the completion of the distribution in July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DiDi Freight Private Financing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first quarter of 2021, our subsidiary that provides intra-city freight services, City Puzzle Holdings Limited, also raised funds through private financing. We currently hold 58.5% of its total equity interests.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Address and Further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principal executive offices are located at DiDi Xinchenghai, Building 1, Yard 6, North Ring Road, Tangjialing, Haidian District, Beijing, People’s Republic of China. Our telephone number at this address is +86 10-8304-3181. Our registered office in the Cayman Islands is located at the offices of Maples Corporate Services Limited at PO Box 309, Ugland House, Grand Cayman, KY1-1104, Cayman Islands. Our agent for service of process in the United States is Cogency Global Inc., located at 122 East 42nd Street, 18th Floor, New York, NY 10168. Investors should contact us for any inquiries through the address and telephone number of our principal executive offices.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SEC maintains an internet site that contains reports, proxy and information statements, and other information regarding issuers that file electronically with the SEC on </w:t>
      </w:r>
      <w:r>
        <w:rPr>
          <w:rFonts w:ascii="Times New Roman;Times;serif" w:hAnsi="Times New Roman;Times;serif"/>
          <w:i/>
          <w:sz w:val="20"/>
        </w:rPr>
        <w:t>www.sec.gov</w:t>
      </w:r>
      <w:r>
        <w:rPr>
          <w:rFonts w:ascii="Times New Roman;Times;serif" w:hAnsi="Times New Roman;Times;serif"/>
          <w:sz w:val="20"/>
        </w:rPr>
        <w:t xml:space="preserve">. You can also find information on our website </w:t>
      </w:r>
      <w:r>
        <w:rPr>
          <w:rFonts w:ascii="Times New Roman;Times;serif" w:hAnsi="Times New Roman;Times;serif"/>
          <w:i/>
          <w:sz w:val="20"/>
        </w:rPr>
        <w:t>didiglobal.com</w:t>
      </w:r>
      <w:r>
        <w:rPr>
          <w:rFonts w:ascii="Times New Roman;Times;serif" w:hAnsi="Times New Roman;Times;serif"/>
          <w:sz w:val="20"/>
        </w:rPr>
        <w:t>. The information contained on our website is not a part of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a leading technology platform for shared mobility, with operations in China and 15 other countries through our platforms or our partnerships across the world.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model comprises four key components:</w:t>
      </w:r>
    </w:p>
    <w:tbl>
      <w:tblPr>
        <w:tblW w:w="1866" w:type="dxa"/>
        <w:jc w:val="left"/>
        <w:tblInd w:w="0" w:type="dxa"/>
        <w:tblCellMar>
          <w:top w:w="28" w:type="dxa"/>
          <w:left w:w="28" w:type="dxa"/>
          <w:bottom w:w="28" w:type="dxa"/>
          <w:right w:w="28" w:type="dxa"/>
        </w:tblCellMar>
      </w:tblPr>
      <w:tblGrid>
        <w:gridCol w:w="124"/>
        <w:gridCol w:w="256"/>
        <w:gridCol w:w="1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mobility;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826" w:type="dxa"/>
        <w:jc w:val="left"/>
        <w:tblInd w:w="0" w:type="dxa"/>
        <w:tblCellMar>
          <w:top w:w="28" w:type="dxa"/>
          <w:left w:w="28" w:type="dxa"/>
          <w:bottom w:w="28" w:type="dxa"/>
          <w:right w:w="28" w:type="dxa"/>
        </w:tblCellMar>
      </w:tblPr>
      <w:tblGrid>
        <w:gridCol w:w="124"/>
        <w:gridCol w:w="256"/>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vehicle services;</w:t>
            </w:r>
          </w:p>
        </w:tc>
      </w:tr>
    </w:tbl>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mobility; and</w:t>
            </w:r>
          </w:p>
        </w:tc>
      </w:tr>
    </w:tbl>
    <w:tbl>
      <w:tblPr>
        <w:tblW w:w="2226" w:type="dxa"/>
        <w:jc w:val="left"/>
        <w:tblInd w:w="0" w:type="dxa"/>
        <w:tblCellMar>
          <w:top w:w="28" w:type="dxa"/>
          <w:left w:w="28" w:type="dxa"/>
          <w:bottom w:w="28" w:type="dxa"/>
          <w:right w:w="28" w:type="dxa"/>
        </w:tblCellMar>
      </w:tblPr>
      <w:tblGrid>
        <w:gridCol w:w="124"/>
        <w:gridCol w:w="256"/>
        <w:gridCol w:w="1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Shared mobility</w:t>
      </w:r>
      <w:r>
        <w:rPr>
          <w:rFonts w:ascii="Times New Roman;Times;serif" w:hAnsi="Times New Roman;Times;serif"/>
          <w:sz w:val="20"/>
        </w:rPr>
        <w:t>. In China, we are a leading brand for shared mobility and provide consumers with a range of safe, affordable and convenient mobility services. Our services include ride hailing, taxi hailing, chauffeur, hitch, and other forms of shared mobility. We have also expanded our platform globally to markets outside China with similar challenges and opportunities. We leverage the technology and expertise that we gained from building and scaling a shared mobility network in China to create localized solutions that fit the needs of consumers in these new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Energy and vehicle services</w:t>
      </w:r>
      <w:r>
        <w:rPr>
          <w:rFonts w:ascii="Times New Roman;Times;serif" w:hAnsi="Times New Roman;Times;serif"/>
          <w:sz w:val="20"/>
        </w:rPr>
        <w:t>. In 2018, we launched energy and vehicle services in China to support the growth of shared mobility by increasing our ability to attract drivers and vehicles onto our platform. We partner with leasing companies and financial institutions to help drivers obtain vehicles. We also help lower the ongoing operating costs for drivers and increase their earning potential. We provide drivers with access to fuel discounts at gas stations in our network as well as to a network of maintenance and repair shops.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Electric mobility</w:t>
      </w:r>
      <w:r>
        <w:rPr>
          <w:rFonts w:ascii="Times New Roman;Times;serif" w:hAnsi="Times New Roman;Times;serif"/>
          <w:sz w:val="20"/>
        </w:rPr>
        <w:t>. Electric vehicles are a natural fit for shared mobility. The benefits of lower operating and maintenance costs for electric vehicles as compared to vehicles with internal combustion engines are amplified by greater usage and higher mileage from shared mobility. To support the electric vehicles on our platform, we have built a large electric vehicle charging network in China. Our insights into the needs of both riders and drivers gave us the confidence to design and develop the D1, the world’s first electric vehicle purpose-built for shared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Autonomous driving</w:t>
      </w:r>
      <w:r>
        <w:rPr>
          <w:rFonts w:ascii="Times New Roman;Times;serif" w:hAnsi="Times New Roman;Times;serif"/>
          <w:sz w:val="20"/>
        </w:rPr>
        <w:t>. We are developing proprietary autonomous driving software and we design custom autonomous driving hardware. Our technology is powered by a large repository of traffic data from our shared mobility fleet which we leverage to power key features of autonomous driving such as localization, prediction, and vehicle control. We test our technology in our own autonomous vehicles and also partner with multiple leading automakers to test our autonomous driving hardware and software in their vehicles. Our autonomous driving technology has not yet been commercialized at scale.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also expanding our services to better address consumers’ essential daily needs beyond personal, four-wheeled transport. In particular, we leverage our localized operational knowhow, core mobility technologies, and infrastructure to improve additional aspects of urban life. In China, we offer bike and e-bike sharing to provide consumers with an additional short-distance urban transport alternative and we launched intra-city freight to bring our strengths in operating an on-demand mobility network to the movement of goods.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business has achieved significant scale since our founding in 2012. Our revenues were RMB141.7 billion, RMB173.8 billion and RMB140.8 billion (US$20.4 billion) in 2020, 2021 and 2022, respectively. Our net loss was RMB10.6 billion, RMB49.3 billion and RMB23.8 billion (US$3.4 billion) in 2020, 2021 and 2022,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Adjusted EBITA (non-GAAP) results were losses of RMB8.4 billion, RMB19.2 billion and RMB12.8 billion (US$1.9 billion) in 2020, 2021 and 2022, respectively. Adjusted EBITA is a non-GAAP financial measure used by our management to evaluate our operating performance. We define Adjusted EBITA (non-GAAP)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 This non-GAAP financial measure is not defined under U.S. GAAP and is not presented in accordance with U.S. GAAP. It should not be considered in isolation or construed as an alternative to net loss or any other measure of performance or as an indicator of our operating performance. See “Item 5. Operating And Financial Review and Prospects—A. Operating Results—Non-GAAP Financial Measure.”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SERVICE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diagram shows our service offerings in China and international markets.</w:t>
      </w:r>
    </w:p>
    <w:p>
      <w:pPr>
        <w:pStyle w:val="TextBody"/>
        <w:spacing w:before="0" w:after="240"/>
        <w:ind w:left="0" w:right="0" w:firstLine="720"/>
        <w:jc w:val="center"/>
        <w:rPr/>
      </w:pPr>
      <w:r>
        <w:rPr/>
        <w:drawing>
          <wp:inline distT="0" distB="0" distL="0" distR="0">
            <wp:extent cx="5933440" cy="3273425"/>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3"/>
                    <a:stretch>
                      <a:fillRect/>
                    </a:stretch>
                  </pic:blipFill>
                  <pic:spPr bwMode="auto">
                    <a:xfrm>
                      <a:off x="0" y="0"/>
                      <a:ext cx="5933440" cy="3273425"/>
                    </a:xfrm>
                    <a:prstGeom prst="rect">
                      <a:avLst/>
                    </a:prstGeom>
                  </pic:spPr>
                </pic:pic>
              </a:graphicData>
            </a:graphic>
          </wp:inline>
        </w:drawing>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Shared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consumers with a comprehensive range of safe, affordable and convenient mobility services, including ride hailing, taxi hailing, carpooling, chauffeur, hitch, and other forms of shared mobility. We will continue to innovate new mobility services and solutions that address consumers’ evolving needs in each market we serve.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diagram below depicts the home screen of our </w:t>
      </w:r>
      <w:r>
        <w:rPr>
          <w:rFonts w:ascii="Times New Roman;Times;serif" w:hAnsi="Times New Roman;Times;serif"/>
          <w:i/>
          <w:sz w:val="20"/>
        </w:rPr>
        <w:t xml:space="preserve">DiDi Chuxing </w:t>
      </w:r>
      <w:r>
        <w:rPr>
          <w:rFonts w:ascii="Times New Roman;Times;serif" w:hAnsi="Times New Roman;Times;serif"/>
          <w:sz w:val="20"/>
        </w:rPr>
        <w:t>app in China where consumers can access our mobility and other essential services:</w:t>
      </w:r>
    </w:p>
    <w:p>
      <w:pPr>
        <w:pStyle w:val="TextBody"/>
        <w:spacing w:before="0" w:after="240"/>
        <w:ind w:left="0" w:right="0" w:hanging="0"/>
        <w:jc w:val="center"/>
        <w:rPr/>
      </w:pPr>
      <w:r>
        <w:rPr/>
        <w:drawing>
          <wp:inline distT="0" distB="0" distL="0" distR="0">
            <wp:extent cx="5791200" cy="4219575"/>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4"/>
                    <a:stretch>
                      <a:fillRect/>
                    </a:stretch>
                  </pic:blipFill>
                  <pic:spPr bwMode="auto">
                    <a:xfrm>
                      <a:off x="0" y="0"/>
                      <a:ext cx="5791200" cy="4219575"/>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Ride Hailing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address a wide variety of rider preferences by offering a comprehensive range of ride hailing services on our platform. All services other than Piggy Express can be accessed through the same app. Below, we explain some of the key characteristics of each of our services.</w:t>
      </w:r>
    </w:p>
    <w:p>
      <w:pPr>
        <w:pStyle w:val="TextBody"/>
        <w:spacing w:before="0" w:after="240"/>
        <w:ind w:left="0" w:right="0" w:hanging="0"/>
        <w:jc w:val="center"/>
        <w:rPr/>
      </w:pPr>
      <w:r>
        <w:rPr/>
        <w:drawing>
          <wp:inline distT="0" distB="0" distL="0" distR="0">
            <wp:extent cx="5702300" cy="5125720"/>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5"/>
                    <a:stretch>
                      <a:fillRect/>
                    </a:stretch>
                  </pic:blipFill>
                  <pic:spPr bwMode="auto">
                    <a:xfrm>
                      <a:off x="0" y="0"/>
                      <a:ext cx="5702300" cy="5125720"/>
                    </a:xfrm>
                    <a:prstGeom prst="rect">
                      <a:avLst/>
                    </a:prstGeom>
                  </pic:spPr>
                </pic:pic>
              </a:graphicData>
            </a:graphic>
          </wp:inline>
        </w:drawing>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Carpooling and Piggy Express are generally our most affordable services. Carpooling is aimed at people who are willing to share rides with other passengers and who do not mind if the vehicle makes a detour to pick up or drop off another passenger. Carpooling can reduce wait time for consumers during peak hours, and it also helps generate more income for drivers. Piggy Express is another affordable service, with a differentiated app and brand, that is targeted at younger riders.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Express is our main service line where we aim for a balance between cost, convenience and comfort that will appeal to the largest segment of the population. We also introduced dynamic pricing to balance supply and demand during peak and off-peak hours through our Discount Express and DiDi Flash services. Discount Express offers lower prices to attract more riders during off-peak hours, while DiDi Flash allows riders to pay more for faster service during peak hours. Select is similar to Express but with enhanced standards for the quality of the vehicle.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have two high-end services that provide enhanced levels of comfort and quality of service. Premier is suitable for most business purposes and includes some larger vehicles for group travel. Luxe features sedans, multi-purpose vehicles (MPVs) and sports utility vehicles (SUVs) of leading luxury brands, together with amenities designed to five-star-hotel standards, including selected food and drinks, in-vehicle Wi-Fi access, customized music and aromatherapy, and green plants.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constantly improving our services to make every trip even more convenient, more comfortable and safer. These efforts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Trip preferences. </w:t>
            </w:r>
            <w:r>
              <w:rPr>
                <w:rFonts w:ascii="Times New Roman;Times;serif" w:hAnsi="Times New Roman;Times;serif"/>
                <w:b w:val="false"/>
                <w:i w:val="false"/>
                <w:caps w:val="false"/>
                <w:smallCaps w:val="false"/>
                <w:sz w:val="20"/>
              </w:rPr>
              <w:t>We give riders flexibility to tailor each service to their own preferred riding experience. Our riders can choose from a wide range of in-ride options, depending on the service they are using, including whether they want drivers to call them upon arrival, whether they would like drivers to move the front seat to create more leg room, and how they want drivers to address them and converse during the trip. Our system also suggests a destination which can be easily confirmed with one click.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Suggested pickup. </w:t>
            </w:r>
            <w:r>
              <w:rPr>
                <w:rFonts w:ascii="Times New Roman;Times;serif" w:hAnsi="Times New Roman;Times;serif"/>
                <w:b w:val="false"/>
                <w:i w:val="false"/>
                <w:caps w:val="false"/>
                <w:smallCaps w:val="false"/>
                <w:sz w:val="20"/>
              </w:rPr>
              <w:t>Even with the help of location information, it still can be difficult for riders and drivers to pinpoint a precise location to meet. Based on the rider’s location and the direction they will be traveling in, we suggest a few pickup points that are easy for both rider and driver to find, which may be in front of a convenience store, next to a bus stop or at one particular entrance to a shopping complex. This data- and AI-intensive function helps eliminate one of the most common sources of confusion and delay in the pickup process.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Emergency contact. </w:t>
            </w:r>
            <w:r>
              <w:rPr>
                <w:rFonts w:ascii="Times New Roman;Times;serif" w:hAnsi="Times New Roman;Times;serif"/>
                <w:b w:val="false"/>
                <w:i w:val="false"/>
                <w:caps w:val="false"/>
                <w:smallCaps w:val="false"/>
                <w:sz w:val="20"/>
              </w:rPr>
              <w:t>Riders can set up their emergency contacts, and how they want us to reach out to them. Options include informing the emergency contacts for all trips during certain time periods, normally late at night, or above a certain distance, authorizing the emergency contacts to inquire about the status of each trip, and notifying the emergency contacts in the event our system detects any abnormality. Riders can also share their trip information with family or other contacts conveniently through WeChat.</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Taxi Hailing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taxi hailing service allows riders to hail a taxi conveniently and efficiently on our platform. We make taxi hailing a transparent, reliable and traceable experience. We have implemented a service quality control system to protect riders’ safety and to reduce the occurrence of undesirable driver behavior such as bargaining, detours, picking up extra passengers and refusal of service. Taxi drivers, at the same time, also benefit from improved efficiency and are able to earn more.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Chauffeur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chauffeur service dispatches professionally trained drivers to meet the car owner and drive the owner in his or her own car to the specified destination according to the agreed-upon route. This service is popular with consumers who need a designated driver, who need to work while they are traveling, or who are taking long-distance trips where they cannot drive the whole way themselves.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Hitch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Hitch matches a car owner with one or more riders who are going in the same direction as the car owner, allowing the car owner to defray the cost of his or her vehicle. This differentiates hitch from carpooling, which matches multiple riders who are going in the same direction as each other. Hitch is generally more affordable than some ride hailing options since the driver would otherwise be bearing the full cost of the trip.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Enterprise Solutions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enterprises with flexible, efficient and manageable one-stop transportation solutions. After a company creates an enterprise account, its employees can use our Enterprise app to request business rides. Trip fares will then be paid directly from the enterprise account.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enterprise solutions help enterprises simplify the reimbursement processes, analyze trip data for effective cost control, ensure employees’ compliance with corporate policies and improve employees’ travel experience. For example, enterprises can define personnel, departments, policies, budgets and rules in our system to standardize processes on business rides. They can also have pre-set travel rules for employees, so that the fares will only be paid by the enterprise if the trips comply with the travel rules.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Energy and Vehicle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energy and vehicle services to support our shared mobility business by bringing more drivers onto our platform and to serve drivers better. We leverage our large driver network and economies of scale to provide better solutions across the vehicle value chain. Our energy and vehicle services aim to reduce cost and improve income for drivers.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built a large vehicle leasing network in China. Drivers can browse vehicles available for lease, sign a lease and pay online through our platform. We have adopted an asset-light model, under which many of the vehicles we lease are owned by our vehicle leasing partners. By making it easier and more affordable for drivers to lease vehicles, we expand the pool of drivers who can provide ride hailing services on our platform.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Refueling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refueling solutions to drivers through our nationwide network of gas stations. We provide fuel discounts to drivers when they refuel at our network stations as well as access to information about a gas station such as its location, fuel prices and customer ratings.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Maintenance and Repair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drivers on our platform with maintenance and repair services. These services range from tire and oil replacement to car detailing and accident repair. We provide our services through a combination of our own shops and partnership with third-party shops. These services enable drivers to lower their operating costs and make a better living, thereby increasing driver supply on our platform and our ability to provide a high-quality mobility experience to consumers.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Electric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Shared mobility is a natural use case for electric vehicles. The benefits of lower operating and maintenance costs for electric vehicles are amplified by constant use and high mileage required for shared mobility solutions. Additionally, the concentration of shared mobility services in urban cities allows electric vehicles to easily access charging networks.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were over 2 million electric vehicles registered on our platform as of December 31, 2022, and electric vehicles fulfilled over 50% of the monthly mileage on our ride hailing platform in December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purpose-built electric vehicles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create a better shared mobility vehicle, in 2018 we started to partner with a leading electric vehicle manufacturer in China. In November 2020, we launched D1, the world’s first electric vehicle purpose-built for shared mobility. See “—Electric Vehicle Technology.” We launched the D1 in November 2020. We plan to grow the number of custom-designed electric vehicles of all kinds in our leasing network.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Charging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 large electric vehicle charging network in China, operated in part by us and in part by our national and local partners. Drivers can see which charging devices are available through our app, which reduces wait time and maximizes the amount of time that drivers can spend serving riders and earning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end of 2022, our extensive charging network covers more than 130,000 fast charging devices, enabling more drivers to charge their electric vehicles quickly and conveniently.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are other initiatives that we are developing in the China market. See “Item 4. Information on the Company—A. History and Development of the Company—Subsidiary Financings” for the history of our external financing for our bike and e-bike sharing and intra-city freight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Bike and e-bike sharing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launched our bike and e-bike sharing services in 2018. Consumers can find a bike near them in real time and unlock it with their DiDi or Qingju Bike app. We charge consumers a base fee plus fees based on time used, which are tracked on the app. No deposit is required. We design our own bikes specifically for shared use with an emphasis on durability and comfort. We have also developed proprietary software for demand and supply analysis, and operation planning to increase utilization and operating efficiency and reduce impairment. Our bike and e-bike sharing service plays an important role in attracting more consumers to our platform.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Intra-city Freight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launched our intra-city freight services in June 2020. Intra-city freight is a natural extension of our strengths in personal mobility. We connect shippers and carriers through an on-demand marketplace. We provide shippers with transparent and fair pricing, the convenience of booking a shipment at the touch of a button, and the assurance of quality and reliability that comes with the DiDi brand. We connect carriers with appropriate shipments on our platform, increasing their utilization rates and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Financial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work with partners to provide various financial services, including credit loans and payment solutions to better serve consumers, drivers, and business partners.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International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began expanding internationally in early 2018. We have already achieved a strong market position in Latin America. In addition, we have growing competitive offerings in markets we have entered more recently. We see significant growth potential ahead as we continue to expand strategically into markets where we believe we can leverage our technology and in-depth operational knowhow to bring mobility and other essential services to consumers.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recognize and fully embrace the challenge of adapting our services to each of the markets we enter, creating differentiated offerings to meet local needs. While we bring our experience from China to our international operations, we also know that our success rests on meeting the needs of the communities we serve, not on applying a one-size-fits-all solution. This adaptive approach has led to numerous differences between our domestic China business and our international operations. We introduce and adjust our service offerings based on what we learn from local consumers and drivers. In 2022, we launched the shared motorcycle service "Moto" in multiple countries in Latin America and in Egypt, helping passengers further reduce mobility costs and fulfilling their demand for mobility in congested traffic scenarios. In 2022, we also achieved milestones in food delivery and financial services in Latin America. We started offering food delivery services in additional countries such as Chile and Peru. In addition, we continue to add options to our local online payment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diagrams depict the home screens of our ride hailing app in Brazil and our food delivery app in Mexico:</w:t>
      </w:r>
    </w:p>
    <w:p>
      <w:pPr>
        <w:pStyle w:val="TextBody"/>
        <w:spacing w:before="0" w:after="240"/>
        <w:ind w:left="0" w:right="0" w:hanging="0"/>
        <w:jc w:val="center"/>
        <w:rPr/>
      </w:pPr>
      <w:r>
        <w:rPr/>
        <w:drawing>
          <wp:inline distT="0" distB="0" distL="0" distR="0">
            <wp:extent cx="5791200" cy="278574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6"/>
                    <a:stretch>
                      <a:fillRect/>
                    </a:stretch>
                  </pic:blipFill>
                  <pic:spPr bwMode="auto">
                    <a:xfrm>
                      <a:off x="0" y="0"/>
                      <a:ext cx="5791200" cy="2785745"/>
                    </a:xfrm>
                    <a:prstGeom prst="rect">
                      <a:avLst/>
                    </a:prstGeom>
                  </pic:spPr>
                </pic:pic>
              </a:graphicData>
            </a:graphic>
          </wp:inline>
        </w:drawing>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OPERATIONAL AND LOCALIZATION EXCELLENCE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develop and refine much of our core technology centrally and utilize our global knowhow to optimize city-level operations. For example, our AI-powered centralized technology predicts traffic and operational conditions in each city before they develop, enabling us to deploy local resources swiftly in response to expected real-time problems such as severe supply and demand mismatch in times of adverse weather conditions. Our expertise at the central level allows us to tackle complex operational challenges, enabling millions of drivers to concurrently provide high quality services through our platform. In addition, we provide local city teams with significant responsibility and flexibility to apply their own local knowledge to pilot new operational strategies.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ACCESS TO OUR PLATFORM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Consumers, drivers and business partners access our platform through our mobile apps, which are set out in the diagram below. We also make our service offerings available through mini-programs on mobile apps such as WeChat and Alipay. We had 587 million annual active users and 23 million annual active drivers worldwide for the twelve months ended March 31, 2023.</w:t>
      </w:r>
    </w:p>
    <w:p>
      <w:pPr>
        <w:pStyle w:val="TextBody"/>
        <w:spacing w:before="0" w:after="240"/>
        <w:ind w:left="0" w:right="0" w:hanging="0"/>
        <w:jc w:val="center"/>
        <w:rPr/>
      </w:pPr>
      <w:r>
        <w:rPr/>
        <w:drawing>
          <wp:inline distT="0" distB="0" distL="0" distR="0">
            <wp:extent cx="5114925" cy="2199640"/>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7"/>
                    <a:stretch>
                      <a:fillRect/>
                    </a:stretch>
                  </pic:blipFill>
                  <pic:spPr bwMode="auto">
                    <a:xfrm>
                      <a:off x="0" y="0"/>
                      <a:ext cx="5114925" cy="2199640"/>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the Chinese New Year in 2023, the demand for commuting, consumer travel, and travel to or from airports, train stations and other major transportation hubs in China has rapidly recovered, driving our China Mobility segment to return to growth. In March 2023, we completed an average of 28.2 million daily transactions for our China Mobility segment, representing a 42% increase from March 2022. During the same period, our International segment continued to develop, with an average of 6.6 million daily transactions for international mobility and food delivery in March 2023. Other initiatives, including bike and e-bike sharing, certain energy and vehicle services, intra-city freight, and financial services, completed an average of 10.2 million daily transactions. In March 2023, we completed a total of 45.0 million average daily transactions for our China Mobility, International, and Other Initiative segments.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587 million annual active users and 23 million annual active drivers worldwide for the twelve months ended March 31, 2023. Among them, our China Mobility segment had 411 million annual active users and 19 million annual active drivers. We will continue to improve our services and strengthen technological innovation to serve drivers and users worldwide.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TECHNOLOGY AND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Platform Technology and Data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Core Technologies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Supply-Demand Prediction. </w:t>
      </w:r>
      <w:r>
        <w:rPr>
          <w:rFonts w:ascii="Times New Roman;Times;serif" w:hAnsi="Times New Roman;Times;serif"/>
          <w:sz w:val="20"/>
        </w:rPr>
        <w:t>Our AI algorithms and deep learning models allow our platform’s back-end system to match supply and demand efficiently.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Matching. </w:t>
      </w:r>
      <w:r>
        <w:rPr>
          <w:rFonts w:ascii="Times New Roman;Times;serif" w:hAnsi="Times New Roman;Times;serif"/>
          <w:sz w:val="20"/>
        </w:rPr>
        <w:t>We utilize our AI and deep learning systems to match individual drivers and riders efficiently, taking into account factors such as distance, wait times, and driver and passenger preferences. We rely on our matching algorithms to reduce pickup waiting times for customers and idle driving times for drivers, with the goal of satisfying customer demands and maximizing driver income. In addition to shared mobility, we are able to implement this matching technology for other offerings, such as intra-city freight, optimizing allocation and improving efficiency for each business 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Mapping and Route Optimization. </w:t>
      </w:r>
      <w:r>
        <w:rPr>
          <w:rFonts w:ascii="Times New Roman;Times;serif" w:hAnsi="Times New Roman;Times;serif"/>
          <w:sz w:val="20"/>
        </w:rPr>
        <w:t>Our real-time road condition analytics provide robust route alternatives to drivers and riders to maximize efficiency. Our route planning capability is also strong enough to support our carpooling business, which has significant real-time data analytics requirements. We have been successful in designing route solutions for our carpooling services by leveraging our deep data insights, instant decision making and superior computing power.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Smart Customer Service. </w:t>
      </w:r>
      <w:r>
        <w:rPr>
          <w:rFonts w:ascii="Times New Roman;Times;serif" w:hAnsi="Times New Roman;Times;serif"/>
          <w:sz w:val="20"/>
        </w:rPr>
        <w:t>We strive to enhance user experience with high-quality care and support. To that end, we have adopted a smart customer service platform that combines self-service solutions with the adoption of AI-empowered automated robotic processes. Our self-service solutions represent an important part of our smart customer service platform and have been built up based on continual investment in our data and systems capabilities. We rely on self-service solutions to address a diverse range of customer needs, including to recover lost goods, receive invoices, report hazardous driving and obtain fee adjustments, among others. We also rely on robotic processes to automate customer interactions. Among other functions, our text-based robotic customer service responds to simple queries, obtains information from customers and guides customers to our self-service solutions. In 2016, we pioneered and adopted an intelligent responsibility assignment system. This system is built around an integrated deep learning model capable of automatically assigning responsibility in disputes. This model combines cutting-edge natural language processing (NLP) models, time series data modelling, multimodal fusion, small samples, and migration learning technologies. We apply intelligent responsibility assignment primarily to assign responsibility for trip cancellation and fee contestations.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Safety. </w:t>
      </w:r>
      <w:r>
        <w:rPr>
          <w:rFonts w:ascii="Times New Roman;Times;serif" w:hAnsi="Times New Roman;Times;serif"/>
          <w:sz w:val="20"/>
        </w:rPr>
        <w:t>We have implemented safety features across our entire ride sharing experience. We also launched an in-app safety center including the world’s first in-app police assistance button and other enhanced safety features.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Infrastructure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core technologies are built on the following infrastructure technologies: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Artificial Intelligence and Machine Learning. </w:t>
      </w:r>
      <w:r>
        <w:rPr>
          <w:rFonts w:ascii="Times New Roman;Times;serif" w:hAnsi="Times New Roman;Times;serif"/>
          <w:sz w:val="20"/>
        </w:rPr>
        <w:t>We believe that AI has helped our platform evolve from a ride-matching marketplace to a smart ecosystem enabler. AI is a key factor in improving our business efficiency and service quality. We use proprietary AI and deep learning models to analyze and predict many aspects of our business and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process huge amounts of driving data each day. We analyze the data collected to derive meaningful insight for our business, as well as to continually refine our proprietary AI-empowered deep learning models by training them on our high-volume and high-granularity dataset.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also used AI and deep learning to run simulations of the ride hailing environment in which we operate, allowing us to predict city-level metrics such as GTV and glean other insights that guide our business strategies. Through our use of AI and deep learning models, we are able to transform our past experience into insights for the future, which improves our efficiency and boosts the monetization potential of our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Cloud Computing. </w:t>
      </w:r>
      <w:r>
        <w:rPr>
          <w:rFonts w:ascii="Times New Roman;Times;serif" w:hAnsi="Times New Roman;Times;serif"/>
          <w:sz w:val="20"/>
        </w:rPr>
        <w:t>Our cloud service is highly available, reliable, and scalable. Our servers are capable of hosting a massive volume of queries on a daily basis. Our computing power is strong enough to complete a vast number of real-time computing tasks to support our platform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ELECTRIC VEHICLE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been investing in electric vehicles and related technology as well as the infrastructure required for them to operate. We are initially concentrating on shared mobility as the use case, and specifically on electric vehicles for use by drivers on our own platform.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Most current vehicles used for shared mobility were not purpose-built for that use. For example, many of them do not have centralized safety management and response tools, on-demand support for refueling and maintenance, are not comfortable to drive for long periods of time, and not designed to maximize comfort and enjoyment for the passenger.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2018, we partnered with a leading electric vehicle manufacturer to improve the shared mobility experience. In November 2020, we launched the D1, the world’s first electric vehicle purpose-built for shared mobility. The D1 offers an enhanced experience for the passenger by providing an ergonomic, comfortable, and fun space to ride in. The D1 offers unique benefits for both drivers and riders through a better driving and riding experience, operating efficiency, and safety.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AUTONOMOUS DRIVING SOLUTIONS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developing autonomous driving as part of our shared mobility platform. We are investing in in-car autonomous driving with the aim of combining it with our existing dispatch and fleet management technology to operationalize an autonomous fleet at scale in the near-future. We believe that the technology will only prove itself commercially viable if introduced and scaled up as part of an existing platform.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Autonomous driving is both core to the future of mobility and attainable in the near term. It has the potential to meaningfully improve safety by significantly reducing the risk of accidents. Autonomous driving also improves vehicle utilization, allowing cars to operate throughout the day, which further reduces the cost of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been building and refining our autonomous driving business. We have developed proprietary Level 4 full-stack autonomous driving software built upon both real-world driving data and simulative data. Our comprehensive technology includes onboard software modules such as localization, perception, prediction, planning and vehicle control; off-board tools and infrastructure such as simulation and data pipeline; and vehicle-to-everything (V2X) technology. We have assembled a team of over 900 experts in the field and have a self-driving fleet of more than 200 test vehicles. We have been conducting testing of our fleet in Shanghai, Guangzhou, Beijing and the Bay Area in California. We launched our Level 4 non-commercial robotaxi services, which include invehicle human safety drivers, in Shanghai, and Guangzhou.</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2022, we obtained a license for remote autonomous driving testing in Guangzhou and launched autonomous driving tests without safety driver at the driver seat. At the same time, we also obtained a commercial license to operate robotaxis in Guangzhou, and in March 2023 we officially launched commercial operations in Huadu District. We held an autonomous driving open day event on April 13, 2023, where we unveiled our first concept robotaxi, the DiDi Neuron.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operationalizing and commercializing autonomous driving will be an important part of growing our business and addressing the mobility needs of urban populations.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use of technology and data is supported by a large research and development team. We have also collaborated with a number of universities for laboratory research on our core mobility technologies. We recognize that our technology capabilities have significant influence over the mobility ecosystem, and therefore we embrace collaboration with different enterprises to accelerate our R&amp;D. We see synergies with various players across verticals and have established deep relationships with a number of partners. We host a number of theme-based research programs, on such topics as mobility, computer vision and machine learning, as well as open dataset programs for the public to welcome individuals from across China to innovate with us. We have also set up research funds for young scholars and talent programs to help cultivate a group of prospective engineers and scientists, as we believe that supporting front-tier technology research is supporting the future of our industry.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ENVIRONMENTAL, SOCIAL AND GOVERNANCE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firmly believe that creating social value and fulfilling our responsibility to society is not only the right thing to do, but also the key to our company's success. We are committed to promoting social welfare and contributing to the betterment of our communities.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understand the importance of diversity and inclusiveness in travel, and we strive to make our services accessible to everyone. We are working to make travel safer, easier, and more enjoyable for everyone. In addition, we strive to contribute to the environment through increased road efficiency, promotion of electric mobility and various public welfare activities.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Flexible Income Opportunities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drivers on our platform with the opportunity to work on their own schedule while maximizing their earning potential. We are honored to be able to provide a safe harbor for drivers and those who need an alternative option to generate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necessary support to the drivers on our platform, making travel more heartfelt. Our “DiDi Seeds Program” focuses on the education and development of the children of ride hailing drivers. As of the end of 2022, we had awarded college entrance examination scholarships to about 600 driver families. Our “DiDi Care Fund” provides humanitarian assistance to ride hailing drivers and their families who face difficulties in their daily life due to serious illnesses, disasters, and other factors. Since 2018, we have assisted a total of over 1,000 driver families and the special funds allocated for humanitarian assistance have exceeded RMB10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Diversity and Inclusion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promote diversified and inclusive growth as an integral part of our values and identity. We believe that travel should be accessible to everyone. At DiDi, we are committed to fulfilling our social responsibility by providing barrier-free travel options, especially for special groups like the disabled and the elderly. Our goal is to create a world where every traveller can enjoy a safe, convenient, and inclusive travel experience. To achieve this goal, we have developed a comprehensive strategy that focuses on three key areas: information accessibility, barrier-free mobility services, and public welfare mobility support. Through our efforts in these areas, we are exploring the combined development of inclusive services and social welfare under the mobile mobility scenario.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terms of information accessibility, we have adapted our DiDi APP to the “text to speech” functions, making it easier for visually impaired users to access our services. For barrier-free mobility services, we launched an initiative to assist passengers with certified guide dogs in finding a car, avoiding rejection, and completing their trips smoothly. This service has been widely recognized and covers 117 cities, with over 2.6 million DiDi drivers completing the Accessibility Services Certification. We also pay close attention to the travel needs of special groups and have established partnerships with public welfare organizations to provide free trips for those in need. We work to support “extremely poor and special needs” groups such as the poor orphans, patients with rare diseases, visually impaired and hearing-impaired children, and public welfare volunteers.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facilitate transportation for the elderly, on January 22, 2021, we launched the “DiDi Care Version” mini-program, later renamed the “DiDi Senior Edition”. We were the first online ride hailing platform in China to launch an app designed for use by the elderly. Currently, we provide an "Assisted Rides" app function, a mini-program, and telephone hotlines for senior citizens. As of March 31, 2023, we have provided over 75 million trips for over 2.7 million elderly people in 355 cities.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Serving Communities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Drivers on our platform are not only service providers on the road, but also volunteers in better serving their communities. Through various initiatives we support drivers in actively engaging in social volunteer work, promoting the development of their communities, and projecting positive energy and warmth.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initiated the “Positive Energy on the Road Program” in 2016 to recognize and reward drivers’ brave and kind actions during rides. As of the end of 2022, the program had commended over 1,300 DiDi drivers for their acts of bravery, honesty, and kindness.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2021, we established the “DiDi Emergency Rescue Project”, through which we participate in emergency rescue practices. After certain provinces experienced severe flooding in July and October 2021, we donated RMB180 million in total to disaster relief efforts to support the recovery of the affected areas. Subsequently, the "DiDi Public Welfare Rescue Team" was launched to work with civilian professional rescue teams by providing ride hailing drivers with emergency skills training and opportunities to participate in volunteer services.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Low Carbon and Sustainability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strive to contribute to the environment through increased road efficiency and promotion of electric vehicles. Our shared mobility services contribute to the reduction of carbon emissions. Our development of the D1, the world’s first electric vehicle that was designed specifically for ride hailing, and our commitment to autonomous driving are also paving the way for the future of sustainable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actively involved in initiatives related to climate change and biodiversity protection. In 2022, we work hand in hand with public welfare organizations and protected zones to protect and promote the conservation of rare species, including migratory birds, the Giant Panda, and the Chinese White Dolphin.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2022, we launched the “Tanyuanqi” project in 298 cities. This project encourages users to choose low-carbon mobility methods to protect the environment. Currently, the project has attracted over 170 million users, taking a positive step towards optimizing mobility structures and cultivating users’ choice for green mobility.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SAFETY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transport people, and we take that responsibility very seriously. We have invested a lot in implementing safety efforts, designing processes and deploying technology. We have an extensive array of safety protocols to cover risks before, during and after each ride, and a dedicated dispute resolution process. We have also extended select safety initiatives internationally, tailoring our efforts to the conditions in each local market where we operate.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a combination of the following methods to protect the safety of everyone who uses our platform: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Background checks and screening. </w:t>
      </w:r>
      <w:r>
        <w:rPr>
          <w:rFonts w:ascii="Times New Roman;Times;serif" w:hAnsi="Times New Roman;Times;serif"/>
          <w:sz w:val="20"/>
        </w:rPr>
        <w:t>We verify the documentation, including the driver’s license and vehicle registration license, of drivers who register on our platform. We also have certain requirements implemented in accordance with applicable PRC regulations, including minimum and maximum age requirements, driving experience, no criminal record, no record of dangerous driving or driving under the influence, and no record of drug use. In addition to conducting background reviews of new drivers when they register on our platform, we also periodically conduct background reviews of active drivers. If an active driver fails a background review, their account will be blocked from accessing our platform to ensure the safety of rides on our platform. Riders can register on our platform by verifying their cellphone number.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DiDi Safeguard. </w:t>
      </w:r>
      <w:r>
        <w:rPr>
          <w:rFonts w:ascii="Times New Roman;Times;serif" w:hAnsi="Times New Roman;Times;serif"/>
          <w:sz w:val="20"/>
        </w:rPr>
        <w:t>We have developed a comprehensive set of safety measures to safeguard riders throughout their entire ride, from when a rider requests a trip to his or her arrival at the destination point.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Emergency contacts and police assistance. </w:t>
            </w:r>
            <w:r>
              <w:rPr>
                <w:rFonts w:ascii="Times New Roman;Times;serif" w:hAnsi="Times New Roman;Times;serif"/>
                <w:b w:val="false"/>
                <w:i w:val="false"/>
                <w:caps w:val="false"/>
                <w:smallCaps w:val="false"/>
                <w:sz w:val="20"/>
              </w:rPr>
              <w:t>Both drivers and riders can set up emergency contacts in the safety center in our app and choose to share their real-time trip information automatically to their emergency contacts via SMS during a pre-set time frame. We also have a police assistance button in our app, which allows riders to make emergency calls to the police. Once a rider makes an emergency call to the police, our system will automatically generate an SMS to notify all emergency contacts that the rider has reached out to the police and share the rider’s trip information and location in real time. Additionally, our customer service team is available around the clock to assist customers with any safety concerns. Through our app, customers are able to easily access messaging or calling options to obtain assistance from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Safe driving. </w:t>
            </w:r>
            <w:r>
              <w:rPr>
                <w:rFonts w:ascii="Times New Roman;Times;serif" w:hAnsi="Times New Roman;Times;serif"/>
                <w:b w:val="false"/>
                <w:i w:val="false"/>
                <w:caps w:val="false"/>
                <w:smallCaps w:val="false"/>
                <w:sz w:val="20"/>
              </w:rPr>
              <w:t>Our system detects signs of dangerous driving patterns, including fatigue, distraction, speeding, accelerating and turning too fast, and braking too hard. In addition, if the vehicle is stopped for too long at a location during a trip, we will send a message to the rider for him or her to confirm the status of the trip.</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Safety Measures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Ratings. </w:t>
            </w:r>
            <w:r>
              <w:rPr>
                <w:rFonts w:ascii="Times New Roman;Times;serif" w:hAnsi="Times New Roman;Times;serif"/>
                <w:b w:val="false"/>
                <w:i w:val="false"/>
                <w:caps w:val="false"/>
                <w:smallCaps w:val="false"/>
                <w:sz w:val="20"/>
              </w:rPr>
              <w:t>We provide a ratings system to riders, which serves as a channel for riders to provide instant feedback on their ride experiences. At the end of each ride, the rider is prompted to rate the driver on a scale of 1 to 5 stars. Our ratings system allows riders to provide anonymous feedback. We take rider ratings feedback very seriously. If a driver is rated below average, the driver may contact our customer service to discuss and address the issues. Riders may put particular drivers on a personal blacklist so that they are no longer dispatched to those drivers. Additionally, drivers may put particular riders on a personal blacklist so that they are no longer dispatched to pick them up.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Vehicle matching. </w:t>
            </w:r>
            <w:r>
              <w:rPr>
                <w:rFonts w:ascii="Times New Roman;Times;serif" w:hAnsi="Times New Roman;Times;serif"/>
                <w:b w:val="false"/>
                <w:i w:val="false"/>
                <w:caps w:val="false"/>
                <w:smallCaps w:val="false"/>
                <w:sz w:val="20"/>
              </w:rPr>
              <w:t>If riders find vehicles do not match the information listed in the app, they can submit in-app feedback, and if it is confirmed that the driver is using a different vehicle, the driver will be permanently banned.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Hitch. </w:t>
            </w:r>
            <w:r>
              <w:rPr>
                <w:rFonts w:ascii="Times New Roman;Times;serif" w:hAnsi="Times New Roman;Times;serif"/>
                <w:b w:val="false"/>
                <w:i w:val="false"/>
                <w:caps w:val="false"/>
                <w:smallCaps w:val="false"/>
                <w:sz w:val="20"/>
              </w:rPr>
              <w:t>We have implemented heightened screening procedures for car owners that use our hitch service. In addition to real name verification, we require private car owners and passengers to verify their identity through facial recognition in a video registration process. We use facial recognition verification at registration and pick-up to prevent wrongful or false use of user identity. We protect the privacy of passengers by displaying minimal personal information on our app. For example, personalized profile photos and gender information are not available on our app. We also limit the number of orders for each car owner to preserve the ride-sharing nature of hitch. Additionally, the car owner should keep the voice recording function turned on throughout the entire trip, and it activates automatically during night-time and long-distance orders.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Safety education and campaigns. </w:t>
      </w:r>
      <w:r>
        <w:rPr>
          <w:rFonts w:ascii="Times New Roman;Times;serif" w:hAnsi="Times New Roman;Times;serif"/>
          <w:sz w:val="20"/>
        </w:rPr>
        <w:t>We have set up a set of comprehensive safety management committees. We educate drivers on our policies, service standards, safety guidelines, and how to receive ride requests, and we require them to take exams on an in-app e-learning platform to enhance their safety awareness. We also regularly communicate our approach and safety concerns and safety initiatives with riders, drivers and other stakeholders.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International safety initiatives. </w:t>
      </w:r>
      <w:r>
        <w:rPr>
          <w:rFonts w:ascii="Times New Roman;Times;serif" w:hAnsi="Times New Roman;Times;serif"/>
          <w:sz w:val="20"/>
        </w:rPr>
        <w:t>We are building a safe and open mobility platform by proactively communicating with riders, drivers, stakeholders and partners around the world to tailor safety measures to specific regions. For example, in countries where online payment systems are uncommon, we promote the use of DiDi Cards so that drivers do not carry lots of cash and become targets for crime.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DATA PRIVACY AND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committed to protecting the personal information of all of our users, including drivers, consumers, and other third parties. We have established and implemented policies across our platform on data collection, processing and usage to safeguard the data we collect, and we regularly review these policies and their implementation. We have established an Information Security Committee which is tasked with ensuring compliance with our internal policies and the applicable laws and regulations on data privacy and security.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instituted strict procedures for collecting, transmitting, storing and using user data pursuant to our data security and privacy policies. Before we collect any user data, we must notify users that we are collecting their data, explain why the data is being collected and how it will be used, and obtain the users’ consent to collect the relevant data. We provide our users a copy of our </w:t>
      </w:r>
      <w:r>
        <w:rPr>
          <w:rFonts w:ascii="Times New Roman;Times;serif" w:hAnsi="Times New Roman;Times;serif"/>
          <w:i/>
          <w:sz w:val="20"/>
        </w:rPr>
        <w:t xml:space="preserve">Policy on Protection of Personal Data and Privacy </w:t>
      </w:r>
      <w:r>
        <w:rPr>
          <w:rFonts w:ascii="Times New Roman;Times;serif" w:hAnsi="Times New Roman;Times;serif"/>
          <w:sz w:val="20"/>
        </w:rPr>
        <w:t>to inform them of the scope and purpose of the data we collect. All user data may be stored only until the business purposes for collecting and processing the data has been fulfilled, after which the data must be destroyed or anonymized. We have also adopted internal guidelines and controls, applicable to all of our employees, suppliers and contractors, under which we grant classified access to confidential personal data only to limited persons with strictly defined and layered access authority to our data and systems. Where permitted by local regulations and subject to any required consent from our users, we may share data, typically in anonymized form, with third parties to assist those third parties in providing services to our users.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maintain a comprehensive data security program to protect the confidentiality and integrity of our data across all aspects of data collection and processing. We utilize a variety of technologies to protect our servers from fire, physical shock, theft and other forms of physical harm. On the back-end,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both “hot” and “cold” backup systems to minimize the risk of data loss or leakage. We also conduct frequent reviews of our backup and data recovery systems, including through regular disaster recovery testing, to ensure that our systems are operating properly.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obtained certifications to help us ensure that our systems conform to domestic and international standards, including ISO 20000 (relating to the performance of our service management systems), ISO 22301 (relating to the ability of our management system to respond to disruptive events), ISO 27001 (relating to the performance of our information security systems), CSA-STAR (relating to the security of cloud systems) and ISO 27018 (relating to our ability to protect data on the cloud). We review and refine our systems on an annual basis to ensure that they remain compliant with the standards we observe.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complex and evolving PRC laws and regulations. In the course of our operations, we have from time to time been subject to regulatory scrutiny regarding our compliance with data protection rules. On July 2, 2021, the Cybersecurity Review Office posted an announcement to state that we were subject to a cybersecurity review and that the Cybersecurity Review Office required us to suspend new user registration in China during the review. On July 4, 2021, the CAC posted an announcement to state that our DiDi Chuxing app collected personal information in violation of PRC laws and regulations. Pursuant to the PRC Cybersecurity Law, the CAC notified app stores to take down the DiDi Chuxing app and required us to strictly comply with relevant laws and regulations, follow the relevant standards set by the PRC government authorities, and rectify the problem to ensure the security of users’ personal information. On July 9, 2021, the CAC posted an announcement to state that it was confirmed that 25 apps that we operate in China, including the apps used by users and drivers, had the problem of collecting personal information in serious violation of relevant PRC laws and regulations. Pursuant to the PRC Cybersecurity Law, the CAC notified app stores to take down these apps, and required us to strictly comply with relevant laws and regulations, follow the relevant standards set by the PRC government authorities, and rectify the problem to ensure the security of users’ personal information. In the past year, we fully cooperated with the PRC government authorities on the cybersecurity review and rectification measures. On January 16, 2023, as approved by the Cybersecurity Review Office, we have resumed DiDi Chuxing’s registration of new users. We will continue to take effective measures to protect the safety of our platform infrastructure and security of big data, and safeguard national cybersecurity. In addition, the PRC government has promulgated a series of new laws and regulations on cybersecurity, data security, personal privacy and overseas listing, which establish higher compliance standards for China-based issuers, including our company, with respect to various aspects such as cybersecurity, data security, cross-border data transmission, personal privacy and overseas listing.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intellectual property rights are valuable and important to our business. We rely on trademarks, patents, copyrights, trade secrets, license agreements, intellectual property assignment agreements, confidentiality procedures, non-disclosure agreements with third-parties and employee non-compete and invention assignment agreements to establish and protect our proprietary rights.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Moreover, even if we are able to license the infringed or similar technology, license fees could be substantial and may adversely affect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3. Key Information—D. Risk Factors—Risks Relating to Our Business and Industry—If we are unable to protect our intellectual property, or if third parties are successful in claiming that we are misappropriating the intellectual property of others, we may incur significant expense and our business may be adversely affected.”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approach to tackling mobility from the ground up is highly differentiated, and we believe there are no other comparable companies that operate their businesses in the same way. However, our service offerings must stay competitive in order to continue to grow our platform.</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Consumers. </w:t>
            </w:r>
            <w:r>
              <w:rPr>
                <w:rFonts w:ascii="Times New Roman;Times;serif" w:hAnsi="Times New Roman;Times;serif"/>
                <w:b w:val="false"/>
                <w:i w:val="false"/>
                <w:caps w:val="false"/>
                <w:smallCaps w:val="false"/>
                <w:sz w:val="20"/>
              </w:rPr>
              <w:t>We compete to attract, engage and retain consumers based on the quality of our mobility services in terms of safety, price, convenience, and comfort as well as our ability to provide other service offerings that cater to their essential needs.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Drivers. </w:t>
            </w:r>
            <w:r>
              <w:rPr>
                <w:rFonts w:ascii="Times New Roman;Times;serif" w:hAnsi="Times New Roman;Times;serif"/>
                <w:b w:val="false"/>
                <w:i w:val="false"/>
                <w:caps w:val="false"/>
                <w:smallCaps w:val="false"/>
                <w:sz w:val="20"/>
              </w:rPr>
              <w:t>We compete to attract, engage and retain drivers on our platform based on our ability to increase their income, simplify their operational workflows and lower their operating costs through technology and vehicles solutions.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Technologies. </w:t>
            </w:r>
            <w:r>
              <w:rPr>
                <w:rFonts w:ascii="Times New Roman;Times;serif" w:hAnsi="Times New Roman;Times;serif"/>
                <w:b w:val="false"/>
                <w:i w:val="false"/>
                <w:caps w:val="false"/>
                <w:smallCaps w:val="false"/>
                <w:sz w:val="20"/>
              </w:rPr>
              <w:t>We compete to develop technologies that would meaningfully change the future of mobility such as electric vehicles and autonomous driving.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competition in each of our offerings. Our shared mobility business competes with personal vehicle ownership and usage, which accounts for the majority of passenger miles in the markets that we serve, with other ride hailing services, and with traditional transportation services, including taxicab companies, taxi hailing services and public transportation. Our electric vehicles compete with electric vehicles as well as vehicles with internal combustion engines produced by other companies, both in China and globally. We are also competing globally with a number of other companies to develop and commercialize autonomous driving and to develop and scale other essential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Many of our competitors are well-capitalized and offer discounted services, driver incentives, consumer discounts and promotions, innovative service and product offerings, and alternative pricing models, which may be more attractive to consumers than those that we offer. Further, some of our current or potential competitors have, and </w:t>
      </w:r>
      <w:r>
        <w:rPr>
          <w:rFonts w:ascii="Times New Roman;Times;serif" w:hAnsi="Times New Roman;Times;serif"/>
          <w:i/>
          <w:sz w:val="20"/>
        </w:rPr>
        <w:t>may</w:t>
      </w:r>
      <w:r>
        <w:rPr>
          <w:rFonts w:ascii="Times New Roman;Times;serif" w:hAnsi="Times New Roman;Times;serif"/>
          <w:sz w:val="20"/>
        </w:rPr>
        <w:t xml:space="preserve">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products or offerings less attractive. In addition, future competitors may share in the effective benefit of any regulatory or governmental approvals and litigation victories we may achieve, without having to incur the costs we have incurred to obtain such benefits. For additional information about the risks to our business related to competition, see “Item 3. Key Information—D. Risk Factors—Risks Relating to Our Business and Industry—The shared mobility industry is highly competitive, and we may be unable to compete effectively.”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INSURANCE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maintain major insurance coverage for areas such as office buildings and facilities, equipment and materials, and losses due to fire, flood and other natural disasters. We believe our insurance coverage is adequate and in line with the commercial practice of industries we operate.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consider our insurance coverage to be adequate as we have in place all the mandatory insurance policies required by Chinese laws and regulations and in accordance with the commercial practices in our industry. We maintain insurance with respect to carrier’s liability in connection with our ride hailing products. However, in line with general market practice, we do not maintain any business interruption insurance or product liability insurance, which are not mandatory under PRC laws. We do not maintain keyman life insurance, insurance policies covering damages to our technical infrastructure or any insurance policies for our properties. Any uninsured occurrence of business disruption, litigation or natural disaster, or significant damages to our uninsured equipment or facilities could have a material adverse effect on our results of operations. See “Item 3. Key Information—D. Risk Factors—Risks Relating to Our Business and Industry—Our business depends heavily on insurance coverage for drivers and on other types of insurance for additional risks related to our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PRC REGULATIONS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Foreign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establishment, operation and management of companies in the PRC are mainly governed by the Company Law, which was issued by the Standing Committee of the National People’s Congress and was last amended in October 2018. The Company Law applies to both PRC domestic companies and foreign-invested companies. The investment activities in China of foreign investors are also governed by the Foreign Investment Law, which was approved by the National People’s Congress of China in March 2019 and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Pursuant to the Foreign Investment Law, the term “foreign investments” refers to any direct or indirect investment activities conducted by any foreign investor in the PRC, including foreign individuals, enterprises or organizations; such investment includes any of the following circumstances: (i) foreign investors establishing foreign-invested enterprises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Foreign Investment Law, the State Council shall promulgate or approve a list of special administrative measures for access of foreign investments. The Foreign Investment Law grants treatment to foreign investors and their investments at the market access stage which is no less favorable than that given to domestic investors and their investments, except for the investments of foreign investors in industries deemed to be either “restricted” or “prohibited.” The list of industries in these two categories is sometimes referred to as the “negative list.” The Foreign Investment Law provides that foreign investors may not invest in the prohibited industries and must meet such requirements as stipulated for making investment in restricted industries. The most recent list of restricted and prohibited industries can be found in the Special Entry Management Measures (Negative List) for the Access of Foreign Investment (2021 version), which was promulgated by the National Development and Reform Commission and the Ministry of Commerce and took effect from January 1, 2022. Industries that are not restricted or prohibited are generally open for foreign investments unless specifically restricted by other PRC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Foreign Investment Law and its implementing rules also provide several protective rules and principles for foreign investors and their investments in the PRC, including, among others,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will have legal liabilities imposed for failing to report investment information in accordance with the requirements. Furthermore, the Foreign Investment Law provides that foreign-invested enterprises established prior to the effectiveness of the Foreign Investment Law may maintain their legal form and structure of corporate governance within five years after January 1,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Value-Added Telecommunications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Telecommunications Regulations, promulgated on September 25, 2000 by the State Council and last amended in February 2016, provides the regulatory framework for telecommunications service providers in China. Under the Telecommunications Regulations, a telecommunications service provider is required to procure operating licenses from the MIIT, or its provincial counterparts, prior to the commencement of its operations, otherwise such operator might be subject to sanctions, including corrective orders and warnings from the competent administration authority, fines and confiscation of illegal gains. In the case of serious violations, the operator’s websites may be ordered to be closed.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Telecommunications Regulations categorize the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June 2017, set forth more specific provisions regarding the types of licenses required to operate value-added telecommunications services, the qualifications and procedures for obtaining the licenses, and the administration and supervision of these licenses. A commercial operator of value-added telecommunication services must first obtain a VATS License. There are two varieties of VATS License, one for services within a single province and one for services across multiple provinces. Furthermore, any telecommunication services operator may only conduct a telecommunication business of the type and within the scope of business as specified in its VATS License.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a catalogue that was issued as an appendix to the Telecommunications Regulations, as last amended by the MIIT in June 2019, the first category of value-added telecommunications services is divided into four subcategories: the “Internet Data Center Services,” the “Content Delivery Network Services,” the “Domestic Internet Protocol Virtual Private Network Services” and the “Internet Access Services.” The second category of value-added telecommunications services includes, among others, the online data processing and transaction processing services and internet information services. Telecommunication services operators engaged in different categories of value-added telecommunications services must obtain the corresponding VATS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Administrative Measures on Internet Information Services, which were promulgated by the State Council in September 2000 and amended in January 2011, classify internet information services into commercial internet information services, which refers to the provision, with charge of payment, of information or website production or other service activities to online users via the internet, and non-commercial internet information services, which refers to the provision, free of charge, of information that is in the public domain and openly accessible to online users via the internet. The measures require that a provider of commercial internet information services shall obtain a VATS License for internet information services, often referred to as an ICP License, and a provider of non-commercial internet information services shall carry out record-filing procedures with the provincial level counterparts of the MIIT.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the VIEs have obtained VATS Licenses in various subcategories, including VATS Licenses for internet data center services, content delivery network services, domestic internet protocol virtual private network services and the internet access services, ICP License, and VATS Licenses for information services (excluding internet content provision services), online data and transaction processing services, domestic multi-party communications services and domestic call center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Special Entry Management Measures (Negative List) for the Access of Foreign Investment (2021 version) and the Administrative Regulations on Foreign-Invested Telecommunications Enterprises, which were most recently amended by the State Council on April 7, 2022 and took effect on May 1, 2022, the equity interest of foreign investors in value-added telecommunications enterprises that are open for foreign investment according to China’s WTO commitment may not exceed 50%, except as otherwise stipulated by the state. Foreign investment in entities holding VATS Licenses for internet data center services, content delivery network services, domestic internet protocol virtual private network services and internet access services, which are not open for foreign investment according to China’s WTO commitment, are generally prohibited, except that qualified telecommunication service providers incorporated in Hong Kong or Macau may hold up to 50% equity interest in such entities according to the Mainland and Hong Kong Closer Economic Partnership Agreement or the Mainland and Macao Closer Economic Partnership Agreement, respectively. From May 1, 2022, the amended Administrative Regulations on Foreign-Invested Telecommunications Enterprises canceled the qualification requirement on the primary foreign investor in a foreign invested value-added telecommunications enterprise for having a good track record and operational experience in the value-added telecommunications industry as stipulated in the previous version.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Online Ride Hailing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ride hailing business is regulated by certain laws and regulations relating to online ride hailing services. As a ride hailing platform, we are required to obtain permits for an online ride hailing business in the cities in China where we operate such a business, and specific licenses and permits are also required for the drivers and vehicles on our platform engaged in our ride hailing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27, 2016, the Ministry of Transport, the MIIT, the Ministry of Public Security, the Ministry of Commerce, the State Administration for Market Regulation and the CAC jointly promulgated the Interim Measures for the Management of Online Ride Hailing Operation and Service, or the Interim Measures, which took effect on November 1, 2016 and was last amended on November 30, 2022. The Interim Measures were promulgated to regulate the business activities of online ride hailing services and to ensure the safety of passengers by establishing a regulatory system for the platforms, vehicles and drivers engaged in online ride hailing services. According to the Interim Measures, (i) the competent transport department of the State Council shall be responsible for guiding the administration of online ride hailing services nationwide, (ii) the competent transport department of the government of a province or an autonomous region shall be responsible for guiding the administration of online ride hailing services within its respective administrative region, and (iii) the competent transport department of a municipality directly under the central government, a city divided into districts, a county, or other competent administrative department designated by the government shall be responsible for the specific administration of online ride hailing service. Before carrying out online ride hailing services, an online ride hailing service platform must obtain a permit for the online ride hailing business and complete the record filing of internet information services with the provincial communications administration in the place of its enterprise registration. Such platform must be capable of exchanging and processing the relevant information and data with its servers located within the PRC, have relevant service organizations and service capabilities in locations where the services are provided, establish a sound operational management system, work safety management system and service quality assurance system, and fulfill other conditions as prescribed. Platforms that conduct the online ride hailing business without obtaining the necessary permit may be subject to an order of correction, a warning by the local authority, a fine of RMB10,000 to RMB30,000, or even criminal liabilities if a violation constitutes a crime. Vehicles used for online ride hailing services must also satisfy certain conditions in order to obtain the transportation permit for vehicles used for online ride hailing services, including, among others, installation of satellite navigation system and emergency alarm devices, and meeting certain operational safety criteria. The Interim Measures also impose certain requirements on drivers engaged in online ride hailing services, including, among others, a driving experience of more than three years and no transport or driving related or violent criminal offense or violent crime record. Drivers must meet the prescribed conditions and pass the relevant exams before they can obtain the driver’s license for online ride hailing services. Platforms may be subject to an order of correction and a fine of RMB5,000 to RMB10,000, and in severe cases a fine of RMB10,000 to RMB30,000, if the relevant vehicle or driver providing the online ride hailing services has not obtained the applicable permit. Furthermore, the Interim Measures also provide that competent local governmental authorities may formulate detailed implementing rules for their respective regions in accordance with the Interim Measures and in light of local conditions.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on September 10, 2018, the General Office of the Ministry of Transport and the General Office of the Ministry of Public Security jointly published the Urgent Notice on Further Strengthening the Safety Management of Online Ride Hailing and Private Car Sharing to enhance the background checks of drivers engaged in online ride hailing and private car sharing, urge the relevant service providers to fulfill their responsibilities in work safety management, and procure sound complaint and emergency alarming systems and quick response systems. Platforms are prohibited from allocating any orders to drivers who have not passed the background check.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Following the promulgation of the Interim Measures, various local governmental authorities have promulgated implementing rules to further stipulate the detailed requirements for online ride hailing service platforms, vehicles and drivers. For example, on December 21, 2016, Beijing Municipal Commission of Transport and several other local governmental authorities jointly promulgated Implementing Rules for the Management of Online Ride Hailing Operation and Service in Beijing, which stipulate that an online ride hailing service platform company shall set up a service agency in Beijing with the place for supporting services and corresponding number of staff. The vehicles used for online ride hailing services shall have Beijing license plates, meet the relevant standards, be equipped with terminal equipment, be registered for use as “ride hailing passenger transport”, and be pre-connected to the online ride-hailing platform with the permit for the online ride hailing business. In addition, Drivers engaged in online ride hailing services shall have Beijing household registration, be healthy, pass the examination, have not committed more than 5 road traffic safety violations within one year prior to application, and have not been included in the taxi information database for serious violations.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21, 2016, Shanghai Municipal People’s Government promulgated Provisions on the Management of Online Ride Hailing Operation and Service in Shanghai, which stipulate that an online ride hailing service platform shall set up a branch in Shanghai, have office space, service network and management personnel that match the number of registered vehicles and drivers in Shanghai, and purchase carrier’s liability insurance. Vehicles used for online ride hailing services shall be registered in Shanghai, meet relevant standards, pass the environmental protection and safety performance test, purchase the relevant insurance, be installed with positioning devices and emergency alarm devices, and be connected to the regulatory platform. In addition, drivers engaged in online ride hailing services shall have Shanghai household registration and meet the requirements on compliance with laws and regulations. According to the 14th Five-Year Development Plan of Shanghai Municipal for Road Transport Industry released on November 25, 2021, the household registration restrictions on drivers engaged in online ride hailing services will be loosened to a certain extent. However, there are no any further explanations or detailed rules or regulations with respect to such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28, 2016, Guangzhou Municipal People’s Government promulgated Interim Measures for the Management of Online Ride Hailing Operation and Service in Guangzhou, as amended on November 14, 2019, which stipulate that an online ride hailing service platform which is not registered in Guangzhou shall have permits for an online ride hailing business and online service capability identification results obtained in its registration place. Vehicles used for online ride hailing services shall comply with the relevant environmental protection and energy conservation technical standards, shall be registered for use as “ride hailing passenger transport” and shall have obtained vehicle driving licenses for less than one year as of the date of applying for the online ride hailing license, and shall not be similar to cruising taxis in appearance. In addition, drivers engaged in online ride hailing services shall not be retired, graduate from junior middle school or above, be in good health and have a driving license of Guangzhou.</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28, 2016, the Shenzhen Municipal People’s Government promulgated Interim Measures for the Management of Online Ride Hailing Operation and Service in Shenzhen, as last amended on March 3, 2022, which stipulate that an online ride hailing service platform shall have premises, management agencies and management personnel in Shenzhen that match its business scale, and the vehicles used for online ride hailing services shall be within its valid inspection period, have obtained a driving license for less than two years as of the date of applying for the online ride hailing license, be equipped with vehicle-borne terminals that meet the relevant specifications, and shall not be similar to cruising taxis in appearance. In addition, drivers engaged in online ride hailing services shall have no record of the practicing qualification certificate of taxi drivers being revoked within 3 years before the application, and have passed the practicing qualification examination.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26, 2021, Chengdu Transportation Bureau and several other local governmental authorities promulgated Implementing Rules for the Management of Online Ride Hailing Operation and Service in Chengdu, which replaced the previous implementing rules as promulgated on November 5, 2016, and provide that an online ride hailing services platform shall set up a service agency in Chengdu and be equipped with corresponding service capabilities. Vehicles used for online ride hailing services shall comply with relevant standards, be registered for use as “ride hailing passenger transport”, have obtained vehicle driving licenses for less than 6 months as of the date of applying for the online ride hailing license, and shall not have the special patterns and logos for cruising taxis. Furthermore, drivers engaged in online ride hailing services shall have household registration or residence permit in Chengdu with no record of being banned from entry into this industry permanently due to revocation of the taxi qualification certificate, and with no relevant illegal records in the last five years and shall be in good health.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7, 2022, the General Office of the Ministry of Transport, the MIIT, the Ministry of Public Security and several other governmental authorities jointly promulgated the Notice on Strengthening the Joint Supervision of the Entire Chain of Online Ride Hailing Industry, which provides that the departments of transportation, telecommunications, public security, human resources and social security, the People’s Bank of China, taxation, market regulation and internet information shall accelerate the establishment of a collaborative supervision mechanism led by the transportation department for new forms of transportation at the provincial and municipal levels, or the joint supervision mechanism. This notice requires relevant governmental authorities to optimize service processes, strictly control industry personnel access, and urge online ride hailing platforms not to grant access to drivers and vehicles with no valid licenses. In case certain violations by online ride hailing platforms trigger the supervisions of various governmental authorities or different provinces and have serious adverse impacts, the relevant authorities of the State Council may organize joint regulatory talks and urge the online ride hailing platforms to rectify. If the online ride hailing platforms commit serious violations but refuse to rectify, the relevant governmental authorities of the municipal level or above may initiate joint supervision and report such violations to the inter-ministerial joint meeting mechanism, and the Ministry of Transport shall take the lead and work together with the CAC, the MIIT, the Ministry of Public Security and other governmental authorities, or instruct their relevant local counterparts, to take measures in accordance with laws, including ordering online ride hailing platforms to suspend services in the region, suspend the release of apps or take down the apps, etc. According to this notice, the joint supervision mechanism shall apply to certain violations of laws and regulations by online ride hailing platforms, which include (i) engaging in online ride hailing business or in a disguised form without obtaining the permit for online ride hailing business; (ii) failing to secure that the vehicles and drivers providing services have relevant licenses and professional qualifications, dispatching orders to drivers and vehicles that have not obtained the corresponding licenses, failing to transmit relevant data information to online ride hailing supervision information exchange platform as required or other serious violations of laws and regulations occurring in the process of operating online ride hailing business; (iii) low-price dumping, fraud, and unreasonably differential treatment of individuals in terms of transaction conditions; (iv) endangering network security, data security, or infringing on the rights and interests of users’ personal information; (v) illegal operation of payment and settlement business; (vi) serious infringement of the labor security rights and interests of the drivers; (vii) failure to pay taxes in accordance with the law; and (viii) other serious violations that endanger public interests, disrupt social order, and affect social security and stability.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Bike and E-Bike Sharing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Bike and e-bike sharing, as one of our Other Initiatives, is mainly regulated by the following laws and regulations. As required by the Guiding Opinions on Encouraging and Regulating the Development of Internet Bike Rental promulgated jointly by several governmental authorities, which took effect on August 1, 2017, internet bike and e-bike sharing operators shall establish users’ real name registration mechanism and enter into a service agreement with users to specify their respective rights and obligations. As the opinions also provide certain requirements relating to users’ riding, parking and other matters. Internet bike and e-bike sharing operators shall also enhance their online and offline service capability by leveraging information technology for better bike management. To strengthen the protection of the networks and information security, internet bike and e-bike sharing operators must set up their servers within the PRC, implement network security hierarchical protection, data security management and personal information protection systems, and establish a network and information security management system and technical support system. Additionally, pursuant to the Measures for the Administration of User Funds in New Forms of Transport Business (for Trial Implementation) jointly promulgated by several governmental authorities on May 9, 2019, internet bike and e-bike sharing operators, online ride hailing operators and other providers of transportation services based on information technology shall not charge deposit payments from users, unless there is a necessity for deposit collection, in which case the operators shall allow users to choose either the operator’s special deposit account or the users’ individual bank settlement accounts for keeping and managing their deposits.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Autonomous Driving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MIIT, the Ministry of Public Security and the Ministry of Transport issued the Administrative Norms for Road Testing of Intelligent Connected Vehicles (Trial Implementation) in April 2018, which became effective from May 1, 2018, and further issued the Administrative Norms for Road Testing and Demonstrative Application of Intelligent Connected Vehicles (Trial Implementation) on July 27, 2021, which took effect from September 1, 2021 and replaced the 2018 administrative norms. The Administrative Norms for Road Testing and Demonstrative Application of Intelligent Connected Vehicles (Trial Implementation) is the primary national level regulatory document on road testing of autonomous driving vehicles in the PRC, pursuant to which, any entity intending to conduct a road testing and demonstrative application of intelligent connected vehicles must provide a self-statement on road testing safety and a temporary license plate for each tested vehicle. Demonstrative application refers to activities involving the pilot and trail effects of running intelligent connected vehicles with passengers and goods, which are carried out on designated sections of roads, urban roads, regions and other roads that are used for passage of public motor vehicles. To qualify for these required licenses, an applicant entity must satisfy, among others, the following requirements: (i) it must be an independent legal person registered under PRC law with the capacity to conduct manufacturing, technological research or testing of vehicles and vehicle parts, which has established protocol to test and assess the performance of autonomous driving system and is capable of conducting real-time remote monitor of the tested vehicles; (ii) the vehicle under road testing must be equipped with a driving system that can switch between autonomous pilot mode and human driving mode in a safe, quick and simple manner and allows human driver to take control of the vehicle any time immediately when necessary; (iii) the tested vehicle must be equipped with the functions of recording, storing and real-time monitoring the condition of the vehicle and is able to transmit real-time data of the vehicle, such as the driving mode, location and speed; (iv)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During the testing, the testing entity should post a noticeable identification logo for autonomous driving test on each tested car and should not use autonomous driving mode unless in the permitted testing areas specified in the self-statement. If the testing entity intends to conduct road testing in the region beyond the administrative territory of the certificate issuing authority, it must again provide the former relevant materials and supplementary materials (if any) to the relevant authority supervising the road-testing of autonomous cars in that region. In addition, the testing entity is required to submit to the provincial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provincial authority within 24 hours and submit a comprehensive analysis report in writing covering cause analysis, final liability allocation results, etc. within five working days after the traffic enforcement agency determines the liability for the accident.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Cybersecurity and Information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Decision Regarding the Protection of Internet Security, enacted by the Standing Committee of the National People’s Congress, on December 28, 2000 and amended on August 27, 2009, 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thus damaging the computer systems and the communications networks; (iii) in violation of national regulations, discontinuing computer network or the communications service without authorization; (iv) disseminating illegal information or leaking state secrets; (v) spreading false commercial information; or (vi) infringing intellectual property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7, 2016, the Standing Committee of the National People’s Congress issued the Cybersecurity Law, which came into effect on June 1, 2017. The Cybersecurity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Cybersecurity Law sets high requirements for the operational security of facilities deemed to be part of the PRC’s “critical information infrastructure.” These requirements include data localisation, i.e., storing personal information and important data in the PRC, and national security review requirements for critical information infrastructure operators when purchasing any network products or services that may impact national security. Among other factors, “critical information infrastructure” is defined as critical network facilities and information systems,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Network operators and operators of critical information infrastructure in violation of the Cybersecurity Law may be ordered to cease illegal activities and may be subject to warnings, fines, suspension of business, confiscation of illegal gains, closedown of the websites and revocation of business licenses or operating permits, and the personnel directly in charge or other directly responsible personnel may be fined.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13, 2019, the CAC and the State Administration for Market Regulation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The China Cybersecurity Review Technology and Certification Center has the right to appoint testing agencies to inspect technical capabilities and business operations for the certification.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color w:val="231F20"/>
          <w:sz w:val="20"/>
        </w:rPr>
        <w:t xml:space="preserve">On </w:t>
      </w:r>
      <w:r>
        <w:rPr>
          <w:rFonts w:ascii="Times New Roman;Times;serif" w:hAnsi="Times New Roman;Times;serif"/>
          <w:sz w:val="20"/>
        </w:rPr>
        <w:t xml:space="preserve">April 13, 2020, the CAC and certain other PRC governmental authorities jointly </w:t>
      </w:r>
      <w:r>
        <w:rPr>
          <w:rFonts w:ascii="Times New Roman;Times;serif" w:hAnsi="Times New Roman;Times;serif"/>
          <w:color w:val="231F20"/>
          <w:sz w:val="20"/>
        </w:rPr>
        <w:t xml:space="preserve">promulgated the </w:t>
      </w:r>
      <w:r>
        <w:rPr>
          <w:rFonts w:ascii="Times New Roman;Times;serif" w:hAnsi="Times New Roman;Times;serif"/>
          <w:sz w:val="20"/>
        </w:rPr>
        <w:t>Cybersecurity Review Measures, effective from June 1, 2020, which provide that a critical information infrastructure operator, when purchasing network products and services, shall prejudge the national security risks that may arise after the products and services are put into use, the critical information infrastructure operator shall apply for cybersecurity review to the cyber security review office if such products and services will or may affect national security. On December 28, 2021, the CAC, together with certain other PRC governmental authorities, promulgated the Revised Cybersecurity Review Measures that replaced the previous version and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a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The Revised Cybersecurity Review Measures provide that violators will be subject to legal consequences in accordance with the Cybersecurity Law and the Data Security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Article 10 of the Revised Cybersecurity Review Measures also set out certain general factors which would be the focus in assessing the national security risk during a cybersecurity review, including (i) risks of critical information infrastructure being illegally controlled or subject to interference or destruction; (ii) the harm caused by the disruption of the supply of the product or service to the business continuity of critical information infrastructure; (iii) the security, openness, transparency and diversity of sources of the product or service, the reliability of supply channels, and risks of supply disruption due to political, diplomatic, trade and other factors; (iv) compliance with PRC laws, administrative regulations and departmental rules by the provider of the product or service; (v) the risk of core data, important data or a large amount of personal information being stolen, leaked, damaged, illegally used, or illegally transmitted overseas; (vi) the risk that critical information infrastructure, core data, important data or a large amount of personal information being affected, controlled, and maliciously used by foreign governments for a listing, as well as network information security risks; and (viii) other factors that may endanger the security of critical information infrastructure, cybersecurity and data security.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apply for a cybersecurity review, the relevant operators shall submit (i) an application letter, (ii) a report to analyze the impact or the potential impact on national security, (iii) purchase documents, agreements, the draft contracts, and the draft application documents for the initial public offering or similar activity, and (iv) other necessary materials. 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members for the cybersecurity review mechanism and the relevant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10, 2021, the Standing Committee of the National People’s Congress of China promulgated the Data Security Law, which took effect in September 2021. The Data Security Law provides for data security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We may be required to make further adjustments to our business practices to comply with this law. Violation of the Data Security Law may subject us to an order to cease illegal activities, warnings, fines, suspension of business and revocation of business licenses or operating permits, and the personnel directly in charge or other directly responsible personnel may be fined.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30, 2021, the State Council promulgated the Regulations on Security Protection of Critical Information Infrastructure, effective on September 1, 2021. According to the Regulations on Security Protection of Critical Information Infrastructure, a “critical information infrastructure” refers to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competent governmental authorities and supervision and management authorities of the aforementioned important industries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 These regulations require the operator to submit a report to the competent PRC governmental authority in accordance with the provisions upon the occurrence of any major cybersecurity incident or the discovery of any major cybersecurity threat to the critical information infrastructures. Operators of critical information infrastructures must purchase safe and trusted network products and services, and if the purchase of network products and services may affect national security, the operators must pass a cybersecurity security review. Any violation of these regulations may subject critical information infrastructure operators to an order to cease illegal activities, warnings and fines, and the personnel directly in charge may be fined.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Administrative Provisions on Security Vulnerability of Network Products were jointly promulgated by the MIIT, the CAC and the Ministry of Public Security on July 12, 2021 and took effect on September 1, 2021. Network product providers, network operators as well as organizations or individuals engaging in the discovery, collection, release and other activities of network product security vulnerability are subject to these provisions and shall establish channels to receive information of security vulnerability of their respective network products and shall examine and fix such security vulnerability in a timely manner. Network product providers are required to report relevant information of security vulnerability of network products with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these provisions, the breaching parties may be subject to administrative penalty as regulated in accordance with the Cybersecurity Law.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14, 2021, the CAC published a discussion draft of Regulations on the Administration of Cyber Data Security for public comment until December 13, 2021, which provides that data processors conducting the following activities shall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regulations also provide that operators of large internet platforms that set up headquarters, operation centers or R&amp;D centers overseas shall report to the national cyberspace administration and competent authorities. In addition, the draft regulations also require that data processors processing important data or going public overseas shall conduct an annual data security self-assessment or entrust a data security service institution to do so, and submit the data security assessment report of the previous year to the local branch of the CAC before January 31 each year. As of the date of this annual report, this draft has not been formally adopted, and substantial uncertainties exist with respect to the enactment timetable, final content, interpretation and implementation.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meantime, the PRC regulatory authorities have also enhanced the supervision and regulation on cross-border data transmission. For example, on July 7, 2022, the CAC promulgated the Measures for the Security Assessment of Cross-Border Data Transfer, which took effect on September 1, 2022. These measures require the data processor providing data overseas and falling under any of the following circumstances apply for the security assessment of cross-border data transfer by the national cybersecurity authority through its local counterpart: (i) where the data processor intends to provide important data overseas; (ii) where the critical information infrastructure operator and any data processor who has processed personal information of more than 1,000,000 individuals intend to provide personal information overseas; (iii) where any data processor who has provided personal information of 100,000 individuals or sensitive personal information of 10,000 individuals to overseas recipients accumulatively since January 1 of the last year intends to provide personal information overseas; and (iv) other circumstances where the security assessment of data cross-border transfer is required as prescribed by the CAC.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Personal Information Protection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recent years, PRC government authorities have enacted laws and regulations on internet use to protect personal information from any unauthorized disclosure. The Cybersecurity Law imposes certain data protection obligations on network operators, including that network operators shall collect and use personal information legally, appropriately and only to the extent necessary, and may not disclose, tamper with, or damage users’ personal information that they have collected, or provide users’ personal information to others without consent. Moreover, network operators are obligated to delete unlawfully collected information and to amend incorrect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Several Provisions on Regulating the Market Order of Internet Information Services, issued by the MIIT on December 29, 2011 and effective on March 15, 2012, stipulate that internet information service providers may not collect any user personal information or provide any such information to third parties without the consent of a user, unless otherwise stipulated by laws and administrative regulations. “User Personal information” is defined as information relevant to the users that can lead to the recognition of the identity of the users independently or in combination with other information. An internet information service provider must expressly inform the users of the method, content and purpose of the collection and processing of such user personal information and may only collect such information as necessary for the provision of its services. An internet information service provider is also required to properly store user personal information, and in case of any leak or likely leak of the user personal information, the internet information service provider must take immediate remedial measures and, in severe circumstances, make an immediate report to the telecommunications regulatory authority.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Decision on Strengthening the Protection of Online Information, issued by the Standing Committee of the National People’s Congress on December 28, 2012, and the Order for the Protection of Telecommunication and Internet User Personal Information, issued by the MIIT on July 16, 2013, stipulate that any collection and use of user personal information must be subject to the consent of the user, abide by the principles of legality, rationality and necessity and be within the specified purposes, methods and scope. An internet information service provider must also keep such information strictly confidential, and is further prohibited from divulging, tampering with or destroying any such information, or selling or proving such information to other parties. An internet information service provider is required to take technical and other measures to prevent the collected personal information from any unauthorized disclosure, damage or loss. Any violation of the above decision or order may subject the internet information service provider to warnings, fines, confiscation of illegal gains, revocation of licenses, cancelation of filings, closedown of websites or even criminal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respect to the security of information collected and used by mobile apps, pursuant to the Announcement of Conducting Special Supervision against the Illegal Collection and Use of Personal Information by Apps, which was issued by the CAC, the MIIT, the Ministry of Public Security, and the State Administration for Market Regulation on January 23, 2019, app operators shall collect and use personal information in compliance with the Cybersecurity Law and shall be responsible for the security of personal information obtained from users and take effective measures to strengthen personal information protection. Furthermore, app operators shall not force their users to make authorization by means of default settings, bundling, suspending installation or use of the app or other similar means and shall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State Administration for Market Regulation jointly issued the Methods of Identifying Illegal Acts of Apps to Collect and Use Personal Information. This regulation further illustrates certain commonly seen illegal practices of app operators in terms of personal information protection.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May 28, 2020, the National People’s Congress adopted the Civil Code, which came into effect on January 1, 2021. Pursuant to the Civil Code, the personal information of a natural person shall be protected by the law. Any organization or individual shall legally obtain such personal information of others when necessary and ensure the safety of such information, and shall not illegally collect, use, process or transmit personal information of others, or illegally purchase or sell, provide or disclose personal information of 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Personal Information Protection Law, which took effect on November 1, 2021. Pursuant to the Personal Information Protection Law, “personal information” refers to any kind of information related to an identified or identifiable individual as electronically or otherwise recorded but excluding the anonymized information. The processing of personal information includes the collection, storage, use, processing, transmission, provision, disclosure and deletion of personal information. The Personal Information Protection Law applies to the processing of personal information of individuals within the territory of the PRC, as well as personal information processing activities outside the territory of PRC for the following circumstances, (i) for the purpose of providing products or services to natural persons located within China, (ii) for analyzing or evaluating the behaviors of natural persons located within China, or (iii) for other circumstances as prescribed by laws and administrative regulations. A personal information processor may process the personal information of this individual only under the following circumstances: (i) 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In principle, the consent of an individual must be obtained for the processing of his or her personal information, except under the circumstances of the aforementioned items (ii) to (vii). Where personal information is to be processed based on the consent of an individual, such consent shall be a voluntary and explicit indication of intent given by such individual on a fully informed basis. If laws or administrative regulations provide that the processing of personal information shall be subject to the separate consent or written consent of the individual concerned, such provisions shall prevail. In addition, the processing of the personal information of a minor under 14 years old must obtain the consent by a parent or a guardian of such minor and the personal information processors must adopt special rules for processing personal information of minors under 14 years old.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the Personal Information Protection Law stipulates the rules for cross-border transfer of personal information. Any cross-border transfer of personal information is subject to the condition that it is necessary to provide the personal information to a recipient outside the territory of the PRC due to any business need or any other need, as well as the satisfaction of at least one of the following conditions: (i) where a security assessment organised by the national cyberspace administration has been passed; (ii) where a certification of personal information protection has been passed from a professional institution in accordance with the provisions issued by the national cyberspace administration; (iii) where a standard contract formulated by the national cyberspace administration has been entered into with the overseas recipient; or (iv) any other condition prescribed by laws, administrative regulations or any other requirements by the national cyberspace administration. Critical information infrastructure operators and personal information processors who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organised by the national cyberspace administration must be passed. Violation of the Personal Information Protection Law may give rise to an order to rectify, warnings, confiscation of illegal gains, fines, suspension of business and revocation of business licenses or operating permits, and the app processing the personal information illegally may be required to suspend or terminate the provision of services, and the personnel directly in charge or other directly responsible personnel may be fined and be prohibited to serve as directors, supervisors, senior management personnel or the personnel in charge of the protection of personal information in the relevant entities within a certain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Micro-loan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May 4, 2008, China Banking Regulatory Commission, which was merged into the China Banking and Insurance Regulatory Commission, and the People’s Bank of China jointly promulgated the Guiding Opinions on the Pilot Operation of Micro-Loan Companies, which provide that a micro-loan company shall be a limited liability company or joint stock company established with investments from natural persons, legal-person enterprises or other social organizations, and shall not absorb the public deposits and operates micro-loan business. To apply for setting up a micro-loan company, the applicant shall file a formal application with the competent authorities of the provincial government, and, upon approval, it shall apply to the local administrative for market regulation for handling the registration formalities and obtain the business license. It is also required to file the relevant material with the local public security authority, the local branch of the China Banking and Insurance Regulatory Commission and the People’s Bank of China. In addition, these opinions also stipulate the requirements on the source, application of funds of micro-loan companies, including among others, (i) the major sources of funds shall be the capital injected by the shareholders, donated capital and the capital borrowed from a maximum of two banking financial institutions; (ii) the balance of the capital borrowed from banking financial institutions shall not exceed 50% of the net capital as prescribed by laws and regulations; (iii) micro-loan companies shall have the autonomy to select prospective borrowers based on the principle of serving the development of farmers, agriculture and rural economy. Micro-loan companies are encouraged to provide credit services for farmers and mini-size enterprises and make more efforts in increasing their number of clients and enlarging the coverage of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7, 2020, the China Banking and Insurance Regulatory Commission issued the Notice of General Office of the CBIRC on Strengthening the Supervision and Administration of Micro-Loan Companies which requires micro-loan companies shall adhere to the principle of “small sum and decentralization”, and shall determine the amount and term of loans based on the income level, overall liabilities, asset status, actual needs and other factors of borrowers, so as to ensure that the repayment amount of the borrowers does not exceed their repayment capacity. The balance of the loans provided by a micro-loan company to the same borrower shall not exceed 10% of the company’s net assets; and the balance of the loans provided by a micro-loan company to the same borrower and its affiliated parties shall not exceed 15% of the company’s net assets. Local financial regulatory authorities may, in light of regulatory needs, lower the maximum balance of the aforesaid loans.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1, 2008, Chongqing Municipal People’s government promulgated the Interim Measures for Administration of Micro-Loan Companies in Chongqing (For Trial), as amended on April 27, 2009, which apply to the establishment, operation and administration of the local micro-loan companies in Chongqing. These measures set out the requirements on the shareholders, the registered capital, the senior management personnel, the internal rules and systems, etc. for establishment of micro-loan companies. The establishment of a micro-loan company must go through two stages (preparation stage and opening stage), and the approval from Chongqing Financial Supervision and Administration Bureau is required for each stage, which are pre-conditions for completing the relevant establishment registration formalities of the micro-loan companies with local administration for market regulation. In addition, the measures require the micro-loan companies to establish and improve the corporate governance structure, clarify the power and responsibility relationship among the shareholders, directors, supervisors and managers, and formulate stable and effective rules of procedure, decision-making procedures and internal audit systems. The micro-loan companies may operate the businesses of various loans, bill discounting and asset transfer after obtaining the corresponding approvals from Chongqing Financial Supervision and Administration Bureau, shall not conduct any form of illegal fund-raising or disguised absorption of public deposits. Without the consent of local financial supervision and administration bureau, a micro-loan company shall not operate any business beyond the business scope listed in the approval documents. The loan balance of a micro-loan company to the same borrower shall not exceed 10% of the company’s net capital, and the credit balance to a single group enterprise customer shall not exceed 15% of the company’s net capital. The business operation and loan interest rate may follow the marketization principle, but it cannot exceed 4 times of the benchmark loan interest rate announced by the People’s Bank of China, and shall be no lower than 90% of the above-mentioned benchmark loan interest rate. Furthermore, the micro-loan companies shall establish the credit management system, risk management system, normative financial system and information disclosure system. Violation of the measures can be ordered to rectify by the local financial supervision and administration bureau, or subject to fines, suspension of business operation or revocation of business license under serious circumstances, or even subject to criminal liabilities.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Online Freight Transport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Regulations on Road Transportation, which were promulgated by the State Council on April 30, 2004 and most recently amended on March 29, 2022 with effect from May 1, 2022, and the Provisions on Administration of Road Transportation and Stations (Sites) issued by the Ministry of Transport, on June 16, 2005 and last amended on September 26, 2022, require that any individuals or institutions that applies for operation of freight transportation shall have: (i) qualified vehicles for operations; (ii) competent drivers under 60 years old with relevant driving licenses and qualification certificate (except for drivers who use general freight vehicles with a total mass of 4.5 tons or less), and (iii) sound and proper administrative systems for safe operation. The transportation administrations at the county level (districted city level, if for dangerous cargos transportations) is responsible for the issuance of the operation permit for the freight transport operating enterprise and the operation licenses for the freight transport operating vehicles. The enterprise shall conduct freight transportation operation in accordance with the scope specified under its road transportation permit and shall not transfer or rent such permit to others.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6, 2019, the Ministry of Transport and State Administration of Taxation jointly promulgated the Interim Measures for Administration of the Road Freight Transport Business on Online Platforms, or the Interim Measures for Online Freight Transport, which became effective on January 1, 2020 and remains valid till December 31, 2023 according to the Announcement on Extending the Validity of the Interim Measures for Online Freight Transport, to regulate the business activities of online freight transport services. Under the Interim Measures for Online Freight Transport, “online freight transport business” refers to the road freight transport business activities in which an operator integrates and allocates transport resources on an online platform, enters into a transport contract with the shipper as a carrier and assumes the responsibility of a carrier, and entrusts an actual carrier to complete the road freight transport; online freight transport business does not include the activities of only providing information intermediary and transaction matching services for the shipper and the actual carrier. According to the Interim Measures for Online Freight Transport, the carless carrier pilot program launched by the Ministry of Transport ended on December 31, 2019 and from January 1, 2020, pilot enterprises may, in accordance with the requirements of the Interim Measures for Online Freight Transport, apply for a road transport business operation license with the business scope of “online freight transport”; the competent road transport supervision and administration authority shall renew the road transport business operation license for pilot enterprises meeting the relevant conditions in accordance with the Interim Measures for Online Freight Transport. Operators that are not included in the scope of carless carrier pilot program launched by Ministry of Transport may apply for business licenses in accordance with the Interim Measures for Online Freight Transport and engage in the online freight transport business in accordance with relevant laws and regulations. The Interim Measures for Online Freight Transport provides among others, that an online freight transport business operator shall engage in business activities within the approved business scopes and shall examine the qualification of the vehicles and drivers actually engaged in the transport to ensure that the vehicles providing transport services have a lawful and valid operation certificate (except for general freight vehicles that engage in general cargo transport operation with a total mass of 4.5 tons or less) and that the drivers have a lawful and valid qualification certificate (except for drivers using general freight vehicles with a total mass of 4.5 tons or less); an online freight transport business operator shall upload waybill data to the provincial online freight transport information monitoring system as required by the relevant technical specifications; an online freight business operator shall record the user registration information, identity authentication information, service information and transaction information of the actual carrier and the shipper, keep relevant tax-related materials according to relevant laws, regulations and rules, and the information shall be retained for not less than three years from the date of completion of the transaction, and the relevant tax-related materials (including the relevant information pertaining to tax-related materials) shall be retained for ten years; an online freight transport business operator shall take effective measures to strengthen the confidentiality management of relevant information on drivers, vehicles and shippers. Pursuant to the Interim Measures for Online Freight Transport, where an online freight transport business operator commits any of the following acts, causing a serious liability accident, the competent road transport supervision and administration authority shall investigate the case and impose penalties according to relevant laws, and include the operator in the list of enterprises subject to joint penalties due to dishonesty in road freight transport to impose joint penalties: (i) entrusting an unqualified actual carrier to undertake the transportation; (ii) carrying goods prohibited by any law, regulation or rule of the State; or (iii) instigating or forcing an actual carrier to transport goods exceeding the limits or loading capacity.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24, 2019, the Ministry of Transport promulgated three guidelines on online freight transport business, including the Service Guidelines on the Road Freight Transport Business on Online Platform, the Guidelines on the Construction of Provincial Online Freight Information Monitoring System and the Access Guidelines on the Ministerial Online Freight Information Interaction System, all of which came into effect concurrently. Among those, the Service Guidelines on the Road Freight Transport Business on Online Platform sets forth that the services provided by online freight transport operators shall meet the requirements, including, among others: (i) obtaining the value-added telecommunication business operation licenses, (ii) complying with state’s requirements for level protection of information system security, (iii) connecting to the provincial online freight information monitoring system, and (iv) being equipped with features including information release, online transaction, full-process monitoring, online financial payment, consultation and complaint, online evaluation, query statistics and data retrieval.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Vehicle Rental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Administration Measures for Operations and Services of Small and Micro Passenger Vehicles issued by the Ministry of Transport on December 20, 2020 and last amended on August 11, 2021, rental business operators of small and micro passenger vehicles shall carry out record-filing procedures with the city or county level counterparts of the Ministry of Transport where the business operations are conducted, within 60 days after completing the relevant registration formalities with the local counterparts of the State Administration for Market Regulation, or within 60 days after establishing new service agencies to carry out relevant business activities. To qualify for the record filing procedures, an applicant entity shall satisfy, among others, the following requirements: (i) being an independent legal person registered under the PRC law; (ii) the vehicles used for rental business operations passing quality inspections, and the registered nature of these vehicles being “rental”; (iii) having the business premises and management personnel eligible for the rental business; (iv) establishing corresponding service institutions and having corresponding service capabilities locally; (v) developing comprehensive operation and management systems, service procedures, safety management systems, and emergency response plans. Failure to complete the record-filing procedures may subject the rental business operators of small and micro passenger vehicles to orders to rectify and fines ranging from RMB3,000 to RMB10,000.</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Anti-Monopoly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Anti-Monopoly Law, as promulgated by the Standing Committee of the National People’s Congress in 2007, prohibits monopolistic conduct such as entering into monopoly agreements, abuse of dominant market position and concentration of undertakings that have the effect of eliminating or restricting 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Violations of Anti-Monopoly Law may be subject to an order to cease the relevant activities, and confiscation of illegal gains and fines ranging from 1% to 10% of sales revenues for the previous year, if the monopoly agreement has been concluded and performed, or fines of up to RMB500,000, if the intended monopoly agreement has not been performed.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as required by the Anti-Monopoly Law, a business operator with a dominant market position may not abuse its dominant market position to conduct acts, such as selling commodities at unfairly high prices or buying commodities at unfairly low prices, selling products at prices below cost without any justifiable cause, and refusing to trade with a trading party without any justifiable cause. Sanctions for violation of the prohibition on the abuse of dominant market position include an order to cease the relevant activities, confiscation of the illegal gains and fines (from 1% to 10% of sales revenues from the previous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where a concentration of undertakings reaches the declaration threshold stipulated by the State Council, a declaration must be approved by the anti-monopoly authority before the parties implement the concentration. Concentration refers to (i) a merger of undertakings; (ii) acquiring control over other undertakings by acquiring equities or assets; or (iii) acquisition of control over, or the possibility of exercising decisive influence on, an undertaking by contract or by any other means. If business operators fail to comply with the mandatory declaration requirement, the anti-monopoly authority is empowered to terminate and/or unwind the transaction, dispose of relevant assets and shares or businesses within certain periods, and impose fines of up to RMB500,000.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11, 2020, the Anti-Monopoly Commission of the State Council issued Anti-Monopoly Compliance Guideline for Operators, which requires operators to establish anti-monopoly compliance management systems under the PRC Anti-Monopoly Law to manage anti-monopoly compliance risks. 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as well as concentration filing procedures for business operators, including those involving variable interest entities. Pursuant to these guidelines, the methods of an internet platform collecting or using the privacy information of internet users may also be one of the factors to be considered for analyzing and recognizing monopolistic conducts in the internet platform industry. For example, whether the relevant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preferences and usage habits analyzed using big data and algorithms is also one of the behaviors constituting abuse of dominant market position. Furthermore, whether the relevant business operators are required to “choose one” among the internet platform and its competitive platforms may be considered to analyze whether such internet platform operator with dominant market position abuses its dominant market position and excludes or restricts market competition. As these guidelines were only issued recently, there are still substantial uncertainties as to their interpretation and implementation in practice.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June 24, 2022, the Standing Committee of the National People’s Congress of China decided to amend the Anti-monopoly Law. The amendment took effect on August 1, 2022. Compared with the previous Anti-monopoly Law, the amendment further provides that operators shall not abuse data, algorithms, technology, capital advantages and platform rules to engage in monopolistic behaviors as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Specifically, the amendment lifts the upper limit of fines for operators who have concluded but not implemented the monopoly agreements from RMB500,000 to RMB3,000,000 and further provides where an operator who has concluded and implemented the monopoly agreements but has not generated any sales revenue in the previous year might be subject to a fine of not more than RMB5,000,000. As for the illegal concentration, the fines for the operators who engage in the illegal concentration which has or may have the effect of eliminating or restricting competition is not more than 10% of their sales revenue in the previous year and for those which have no eliminating or restricting effect on competition is not more than RMB5,000,000. The amendment also introduces the punitive provisions that the legal representative, principal and directly responsible personnel of the operator who are personally responsible for concluding the monopoly agreement might be subject to a fine of not more than RMB1,000,000.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These provisions specify and refine the relevant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In addition, factors for determining whether a concentration has been implemented include, but are not limited to, the completion of market entity registration or right holder change registration, assignment of senior management, actual participation in business decisions and management, exchange of sensitive information with other undertakings, and substantial integration of business. Besides, an operator with a leading market position may be deemed to have a dominant market position when the relevant conditions are met. Such conditions include an undertaking’s capability to control the upstream and downstream markets, its financial and technological resources, the level of difficulty for other undertakings to enter relevant market, consistency of undertaking behaviors, market structure, transparency of relevant markets, homogeneity of relevant commodities, etc. These provisions further emphasize that operators with dominant market positions shall not utilize data, algorithms, technologies and rules of the platform, among others, to conduct acts of abusing their dominant market positions as stipulated thereunder. In addition, these provisions also clarify the legal responsibility of relevant subjects under different circumstances. For example, according to the Provisions on Prohibiting Monopoly Agreements, where the legal representative, principal responsible person and directly responsible person of an undertaking assume individual responsibility for conclusion of a monopoly agreement, and if such person proactively reports the information on conclusion of the monopoly agreement and provides important evidences to the competent anti-monopoly enforcement authorities, the provisions of the mitigation of or exemption from penalties thereunder may apply.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Anti-Unfair 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Anti-Unfair Competition Law, promulgated by the Standing Committee of the National People’s Congress on September 2, 1993 and most recently amended on April 23, 2019, operators are prohibited from engaging in unfair competition activities including market confusion, commercial bribery, misleading false publicity, infringement on trade secrets, illegitimate premium sales, etc.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17, 2021, the State Administration for Market Regulation issued a discussion draft of Provisions on the Prohibition of Unfair Competition on the Internet, under which business operators should not hijack traffic by using data or algorithms or influencing users’ choices, or use technical means to illegally capture or use other business operators’ data. Furthermore, business operators are not allowed to (i) fabricate or spread misleading information to damage the reputation of competitors, or (ii) employ marketing practices such as fake reviews or use coupons or “red envelopes” to entice positive ratings.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Algorithms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17, 2021, the CAC, together with certain other governmental authorities, jointly issued the Guidelines on Strengthening the Comprehensive Regulation of Algorithm for Internet Information Services, which provide that, daily monitoring of data use, application scenarios and effects of algorithms shall be carried out by the relevant regulators, and security assessments of algorithm shall be conducted by the relevant regulators, and an algorithm filing system shall be established and classified security management of algorithms shall be promoted.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31, 2021, the CAC and certain other PRC governmental authorities promulgated the Provisions on the Administration of Algorithm Recommendation for Internet Information Services, which took effect from March 1, 2022. These provisions require that algorithmic recommendation service providers shall inform users in a conspicuous manner of their provision of algorithmic recommendation services, and publicize the basic principles, purposes, and main operating mechanisms of algorithmic recommendation services in an appropriate manner. Where algorithm recommendation service providers provide work scheduling services, they shall protect workers’ legitimate rights and interests such as labor remuneration, rest and vacation, and establish and improve relevant algorithms such as platform order distribution, remuneration composition and payment, working hours, rewards and punishments. Where algorithm recommendation service providers sell goods or provide services to consumers, they shall protect consumers’ rights to fair transactions, and shall not use algorithms to implement unreasonably differential treatment in transaction prices and other transaction conditions based on consumers’ preferences, transaction habits, and other characteristics and other illegal acts. We have taken and will take various measures to protect the interests of the drivers and users on our platform, including without limitation, strengthening self-examination mechanism to promote the fairness of transactions, providing the drivers with remuneration report allowing them to check their remuneration composition and payment, and we will establish strict internal policies and review mechanism ensuring not to use algorithms to implement unreasonably differential treatment to our users or infringe on their legitimate rights and interests.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Intellectual Property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Patent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Patents in the PRC are principally protected under the Patent Law. The Chinese patent system adopts a first-to-file principle. To be patentable, an invention or a utility model must meet three criteria: novelty, inventiveness and practicability. The duration of a patent right is either 10 years or 20 years from the date of application, depending on the type of patent right.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Copyright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Copyrights in the PRC, including software copyrights, are principally protected under the Copyright Law and related rules and regulations. Under the Copyright Law, the term of protection for software copyrights is 50 years. The Regulation on the Protection of the Right to Communicate Works to the Public over Information Networks, as last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Computer Software Copyright Registration Measures, promulgated by the National Copyright Administration on February 20, 2002, regulate registrations of software copyrights, exclusive licensing contracts for software copyrights and assignment agreements. The National Copyright Administration administers software copyright registration and the Copyright Protection Center of China is designated as the software registration authority. The Copyright Protection Center of China grants registration certificates to the computer software copyrights applicants which meet the relevant requirements.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Trademark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Registered trademarks are protected under the Trademark Law and related rules and regulations. Trademarks are registered with the Trademark office of National Intellectual Property Administration under the State Administration for Market Regulation, formerly the Trademark Office of the State Administration of Industry and Commerce.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Domain Name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Domain names are protected under the Administrative Measures on Internet Domain Names promulgated by the MIIT on August 24, 2017 and effective as of November 1, 2017. Domain name registrations are handled through domain name service agencies established under the relevant regulations, and applicants become domain name holders upon successful registration.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Employment and Social Welfare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Labor Law and the Labor Contract Law, employers must execute written labor contracts with full-time employees. All employers must comply with local minimum wage standards. Violations of the Labor Contract Law and the Labor Law may result in the imposition of fines and other administrative and criminal liability in the case of serious violations.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according to the Social Insurance Law and the Regulations on the Administration of Housing Funds, employers in the PRC must provide employees with welfare schemes covering pension insurance, unemployment insurance, maternity insurance, work-related injury insurance, medical insurance and housing funds.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16, 2021, the Ministry of Human Resources and Social Security, the National Development and Reform Commission, the Ministry of Transport, together with several other governmental authorities jointly promulgated Guiding Opinions on Safeguarding the Rights and Interests of Labors in New Forms of Employment, which require, among others, platform enterprises adopting labor outsourcing and other cooperative labor methods to undertake corresponding responsibilities in accordance with laws and regulations when labors’ rights and interests are damaged, call for organizing and launching pilot programs for occupational injury protection of flexible employment personnel, focusing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17, 2021, the Ministry of Transport, the National Development and Reform Commission, the CAC and certain other governmental authorities jointly promulgated the Opinions on Strengthening the Protection of the Rights and Interests of Labors in New Forms of Transportation Industry, which provide that the relevant departments shall urge online ride hailing platform enterprises to announce pricing rules and income distribution rules to relevant parties such as drivers and passengers. The total amount paid by the passengers and the remuneration of the driver, and the ratio of the difference between the aforementioned amounts to the total amount paid by the passengers shall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Foreign Exchange and Dividend Distribution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Foreign Currency Exchange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principal regulations governing foreign currency exchange in the PRC are the Foreign Exchange Administration Regulations, which was last amended in 2008. Under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the PRC to pay capital account items, such as direct investments, repayment of foreign currency-denominated loans, repatriation of investments and investments in securities outside of the PRC.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2012, SAFE promulgated the Circular of Further Improving and Adjusting Foreign Exchange Administration Policies on Foreign Direct Investment, which substantially amends and simplifies the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2015, SAFE promulgated the Circular of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SAFE on Issues Relating to the Improvement of Business Operations with Respect to the Administration of Foreign Exchange Capital Payment and Settlement of Foreign-invested Enterprises, or Circular 142, and the Circular of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SAFE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October 23, 2019, SAFE promulgated the Notice of the State Administration of Foreign Exchange on Further Promoting the Facilitation of Cross-border Trade and Investment, which permits non-investment foreign-invested enterprises to use their capital funds to make equity investments in the PRC, with genuine investment projects and in compliance with effective foreign investment restrictions and other applicable laws. However, there are still uncertainties as to its interpretation and implementations in practice.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Dividend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principal regulations governing distribution of dividends of foreign-invested enterprises is the Company Law. Under this laws and its regulations, foreign-invested enterprises in China may pay dividends only out of their accumulated after-tax profits, if any, determined in accordance with China’s accounting standards and regulations. In addition, a PRC company, including a foreign-invested enterprise in China, is required to allocate at least 10% of its accumulated profits each year, if any, to fund certain reserve funds until these reserves have reached 50% of the registered capital of the enterprise. A PRC company may, at its discretion, allocate a portion of its after-tax profits based on China accounting standards to staff welfare and bonus funds. These reserves are not distributable as cash dividends.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Foreign Exchange Registration of Overseas Investment by PRC Residents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2014, SAFE issued the SAFE Circular on Relevant Issues Relating to Domestic Resident’s Investment and Financing and Roundtrip Investment through Special Purpose Vehicles, or SAFE Circular 37. SAFE Circular 37 regulates foreign exchange matters in relation to the use of special purpose vehicles by PRC residents or entities to seek offshore investment and financing or conduct round trip investment in the PRC.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the PRC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2015, SAFE Notice 13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SAFE registration requirements described above, or making misrepresentations or failing to disclose the control of the foreign-invested enterprise that is established through round-trip investment, may result in restrictions being imposed on the foreign exchange activities of the relevant foreign- 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 Relating to Stock Incentive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SAFE promulgated the Circular of SAFE on Issues concerning the Administration of Foreign Exchange Used for Domestic Individuals’ Participation in Equity Incentive Plans of Companies Listed Overseas in February 2012. Pursuant to this circular and other relevant rules and regulations, PRC residents who participate in a stock incentive plan in an overseas publicly listed company are required to register with SAFE or its local branches and complete certain other procedures. Participants in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the participants.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PRC agent is required to amend the SAFE registration with respect to the stock incentive plan if there is any material change to the stock incentive plan or the PRC agent or any other material changes. The PRC agent must apply to SAFE or its local branches on behalf of the PRC residents who have the right to exercise the employee share options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Relating to Taxation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Enterprise Income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Enterprise Income Tax Law, which was promulgated by the National People’s Congress on March 16, 2007, took effect on January 1, 2008 and was last amended on December 29, 2018, and its implementing rules, enterprises are classified into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The Enterprise Income Tax Law and its implementation rules permit certain High and New Technologies Enterprises to enjoy a reduced 15% enterprise income tax rate subject to these enterprises meeting certain qualification criteria.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Notice Regarding the Determination of Chinese-Controlled Offshore Incorporated Enterprises as PRC Tax Resident Enterprises on the Basis of De Facto Management Bodies promulgated by the State Administration of Taxation, on April 22, 2009, taking effect on January 1, 2008, and last amended on December 29, 2017, sets out the standards and procedures for determining whether the “de facto management body” of an enterprise registered outside of mainland China and controlled by mainland Chinese enterprises or mainland Chinese enterprise groups is located within mainland China. On July 27, 2011, the State Administration of Taxation issued a trial version of the Administrative Measures for Enterprise Income Tax of Chinese-Controlled Offshore Incorporated Resident Enterprises, which took effect on September 1, 2011 and was last amended in June 2018, to clarify certain issues in the areas of resident status determination, post-determination administration and competent tax authorities’ procedures. The PRC Enterprise Income Tax Law and the implementation rules provide that an income tax rate of 10% will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the PRC and other jurisdictions. Pursuant to the Arrangement Between the Mainland of China and the Hong Kong Special Administrative Region for the Avoidance of Double Taxation and Tax Evasion on Income, promulgated by the State Administration of Taxation on August 21, 2006, and other applicable PRC laws, if a Hong Kong resident enterprise is the beneficial owner of the dividends and is determined by the competent PRC tax authority to have satisfied the relevant conditions and requirements,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promulgated by the State Administration of Taxation and taking effect on February 20, 2009, if the relevant PRC tax authorities determine, in their discretion, that a company benefits from such reduced income tax rate due to a structure or arrangement that is primarily tax-driven, such PRC tax authorities may adjust the preferential tax treatment. The State Administration of Taxation promulgated the Notice on Issues Concerning “Beneficial Owners” in Tax Treaties in February 2018, which took effect in April 2018 and provided that in determining whether a non-resident enterprise has the status as a beneficial owner, comprehensive analysis shall be conducted based on the factors listed therein and the actual circumstances of the specific case shall be taken into consideration.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Value-added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Provisional Regulations on Value-added Tax promulgated by the State Council on December 13, 1993 and last amended on November 19, 2017, and the Implementing Rules of the Provisional Regulations on Value-added Tax promulgated by the Ministry of Finance on December 25, 1993 and last amended on October 28, 2011, all taxpayers selling goods, providing processing, repairing or replacement services or importing goods within the PRC shall pay VAT. On April 4, 2018, the Ministry of Finance and the State Administration of Taxation issued the Circular on Adjustment of VAT Rates, which took effect on May 1, 2018. According to the abovementioned circular, the taxable sales activities previously subject to VAT rates of 17% and 11% respectively became subject to lower VAT rates of 16% and 10% respectively starting from May 1, 2018. Furthermore, according to the Announcement on Relevant Policies for Deepening VAT Reform jointly promulgated by the Ministry of Finance, the State Administration of Taxation and the General Administration of Customs, which took effect on April 1, 2019, the taxable sales activities previously subject to VAT rates of 16% and 10% respectively became subject to lower VAT rates of 13% and 9% respectively starting from April 1,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 on M&amp;A Rules and Overseas Listings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8, 2006, six PRC regulatory agencies including the Ministry of Commerce and the CSRC, adopted the M&amp;A Rules, which took effect on September 8, 2006 and were amended on June 22, 2009. Pursuant to the M&amp;A Rules, the approval of the Ministry of Commerce must be obtained if overseas companies established or controlled by PRC enterprises or residents acquire domestic companies affiliated with such PRC enterprises or residents. In addition, the M&amp;A Rules require offshore special purpose vehicles formed for overseas listing purposes through acquisitions of PRC domestic companies and controlled by PRC enterprises or residents to obtain the approval of the CSRC prior to publicly listing their securities on an overseas stock exchange.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certain PRC regulatory authorities issued Opinions on Strictly Cracking Down on Illegal Securities Activities,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February 17, 2023, the CSRC promulgated the Trial Administrative Measures of the Overseas Securities Offering and Listing by Domestic companies, or the Overseas Listing Trial Measures, together with five guidelines, which became effective on March 31, 2023. The Overseas Listing Trial Measures will comprehensively improve and reform the existing regulatory regime for overseas securities offering and listing of PRC domestic companies by adopting a filing-based regulatory regime. According to the Overseas Listing Trial Measures, PRC domestic companies that seek to offer and list securities in overseas markets (including the circumstance where the PRC domestic company intends to reissue and list overseas after delisting from overseas exchanges, including being delisted to the over-the-counter market), either directly or indirectly, are required to fulfill the filing procedure with the CSRC and report relevant information.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Overseas Listing Trial Measures provide that if an issuer meets both of the following criteria, the overseas securities offering and listing conducted by such issuer will be deemed as an indirect overseas offering and listing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having been investigated or penalized by overseas securities regulatory authorities or other competent authorities, converting the listing status or listing board, or voluntary or forced delisting of the issuer(s) which have completed overseas offerings and listings.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our business primarily through our principal subsidiaries and the principal VIE. We offer our mobility services in China through the principal VIE, which is Beijing Xiaoju Science and Technology Co., Ltd., or Xiaoju Technology, a limited liability company incorporated under the laws of the PRC, and through its subsidiaries in China, including DiDi Chuxing Science and Technology Co., Ltd. and Beijing DiDi Chuxing Technology Co., Ltd.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order to comply with PRC laws and regulations, we have entered into a series of contractual arrangements in connection with the variable interest entities, including through Beijing DiDi Infinity Technology and Development Co., Ltd., or Beijing DiDi, with Xiaoju Technology, and its respective shareholders to obtain effective control over Xiaoju Technology and its subsidiaries. See “—Contractual Arrangements with the Variable Interest Entities” below.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diagram illustrates our corporate structure as of the date of this annual report, including our principal subsidiaries, the principal variable interest entity, and other entities:</w:t>
      </w:r>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5509260" cy="5715000"/>
            <wp:effectExtent l="0" t="0" r="0" b="0"/>
            <wp:docPr id="1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 descr=""/>
                    <pic:cNvPicPr>
                      <a:picLocks noChangeAspect="1" noChangeArrowheads="1"/>
                    </pic:cNvPicPr>
                  </pic:nvPicPr>
                  <pic:blipFill>
                    <a:blip r:embed="rId8"/>
                    <a:stretch>
                      <a:fillRect/>
                    </a:stretch>
                  </pic:blipFill>
                  <pic:spPr bwMode="auto">
                    <a:xfrm>
                      <a:off x="0" y="0"/>
                      <a:ext cx="5509260" cy="5715000"/>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our chief technology officer, Mr. Rui Wu is our vice president of risk control and compliance, and Mr. Ting Chen is the general manager of an affiliate of our company.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Arrangements with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laws and regulations impose restrictions on foreign ownership and investment in value-added telecommunications services and certain other businesses. We are a Cayman Islands company and our PRC subsidiaries are considered foreign-invested enterprises. In order to comply with PRC laws and regulations, we have entered into a series of contractual arrangements, through our PRC subsidiaries, with the VIEs and their respective shareholders to (i) have the power to direct activities of the VIEs and their subsidiaries that most significantly impact their economic performance and (ii) have the right to receive economic benefits from the VIEs and their subsidiaries that could potentially be significant to them.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currently conduct our business through the VIEs and their subsidiaries based on these contractual arrangements, which allow us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power to direct activities of the VIEs and their subsidiaries that most significantly impact their economic performance;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right to receive economic benefits from the VIEs and their subsidiaries that could potentially be significant to them; and</w:t>
            </w:r>
          </w:p>
        </w:tc>
      </w:tr>
    </w:tbl>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or part of the equity interest in the VIEs to the extent permitted by PRC laws.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these contractual arrangements, certain of our PRC subsidiaries are considered the primary beneficiaries of the VIEs for accounting purposes. We have consolidated the financial results of the VIEs and their subsidiaries in our consolidated financial statements in accordance with U.S. GAAP.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Therefore,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the currently effective contractual arrangements among Beijing DiDi, Xiaoju Technology, and its respective shareholders.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Agreements that Allow Us to Receive Economic Benefits from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Exclusive Business Cooperation Agreement</w:t>
      </w:r>
      <w:r>
        <w:rPr>
          <w:rFonts w:ascii="Times New Roman;Times;serif" w:hAnsi="Times New Roman;Times;serif"/>
          <w:sz w:val="20"/>
        </w:rPr>
        <w:t>. On May 6, 2013, Beijing DiDi entered into an exclusive business cooperation agreement with Xiaoju Technology. Pursuant to the agreement, Beijing DiDi or its designated parties have the exclusive right to provide Xiaoju Technology with comprehensive technical support, consulting services and other services. Without Beijing DiDi’s prior written consent, Xiaoju Technology shall not accept any service covered by the agreement from any third party. Xiaoju Technology agrees to pay services fees, the amount of which is determined by Beijing DiDi on the basis of the work performed and commercial value of the services. Beijing DiDi owns the intellectual property rights arising out of the services performed under the agreement. Unless Beijing DiDi terminates the agreement or pursuant to other provisions of the agreement, the agreement will remain effective for a long term, or for a specified period as agreed by the parties which can be extended unilaterally by Beijing DiDi. The agreement can be terminated by Beijing DiDi with advance written notice to Xiaoju Technology, and unless otherwise required by applicable laws, Xiaoju Technology shall not have the right to terminate the agreement.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Agreements that Provide Us with the Power to Direct Activities of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Power of Attorney</w:t>
      </w:r>
      <w:r>
        <w:rPr>
          <w:rFonts w:ascii="Times New Roman;Times;serif" w:hAnsi="Times New Roman;Times;serif"/>
          <w:sz w:val="20"/>
        </w:rPr>
        <w:t>. Through a series of powers of attorney, each shareholder of Xiaoju Technology irrevocably authorizes Beijing DiDi to act as its attorney-in-fact to exercise all of such shareholder’s voting and other rights associated with the shareholder’s equity interest in Xiaoju Technology, including but not limited to the right to attend shareholder meetings on behalf of such shareholder, the right to appoint legal representatives, directors, supervisors and chief executive officers and other senior management, and the right to sell, transfer, pledge and dispose of all or a portion of the shares held by such shareholder. The power of attorney is irrevocable and remains in force continuously upon execution.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Share Pledge Agreements</w:t>
      </w:r>
      <w:r>
        <w:rPr>
          <w:rFonts w:ascii="Times New Roman;Times;serif" w:hAnsi="Times New Roman;Times;serif"/>
          <w:sz w:val="20"/>
        </w:rPr>
        <w:t>. On May 6, 2013 and May 26, 2015, Beijing DiDi has entered into share pledge agreements with Xiaoju Technology and its respective shareholders. Pursuant to these share pledge agreements, all shareholders of Xiaoju Technology have pledged their equity interest in Xiaoju Technology to Beijing DiDi to guarantee the performance by such shareholders and Xiaoju Technology of their respective obligations under the exclusive business cooperation agreement, the power of attorney, the exclusive option agreements, and any amendment, supplement or restatement to such agreements. If Xiaoju Technology or any of its shareholders breach any obligations under these agreements, Beijing DiDi, as pledgee, will be entitled to dispose of the pledged equity and has priority to be compensated by the proceeds from the disposal of the pledged equity. All the shareholders of Xiaoju Technology agree that before their obligations under the contractual arrangements are discharged, they will not dispose of the pledged equity interest or create or allow any encumbrance on the pledged equity interest without the prior written consent of Beijing DiDi. These share pledge agreements will remain effective until Xiaoju Technology and its shareholders discharge all their obligations under the contractual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completed the registration of the equity interest pledge contemplated under the share pledge agreements in relation to Xiaoju Technology with the competent administration for market regulation in accordance with applicable PRC law.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Agreements that Provide Us with the Option to Purchase the Equity Interest in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Exclusive Option Agreements</w:t>
      </w:r>
      <w:r>
        <w:rPr>
          <w:rFonts w:ascii="Times New Roman;Times;serif" w:hAnsi="Times New Roman;Times;serif"/>
          <w:sz w:val="20"/>
        </w:rPr>
        <w:t>. On March 11, 2016, Beijing DiDi has entered into exclusive option agreements with Xiaoju Technology and its respective shareholders. Pursuant to these exclusive option agreements, all the shareholders of Xiaoju Technology have irrevocably granted Beijing DiDi or any third party as agreed by Xiaoju Technology and Beijing DiDi an exclusive option to purchase all or part of their respective equity interest in Xiaoju Technology. The purchase price of equity interest in Xiaoju Technology will be the lowest price permitted by PRC law. Without Beijing DiDi’s prior written consent, Xiaoju Technology shall not, among other things, amend its articles of association, increase or decrease the registered capital. The shareholders of Xiaoju Technology also undertake that they will not transfer or dispose of their respective equity interest in Xiaoju Technology to any third party or create or allow any encumbrance on their equity interest within the term of these agreements. These agreements will remain effective until all the equity interest in Xiaoju Technology held by their respective shareholders have been transferred or assigned to Beijing DiDi and/or any other person designated by Beijing DiDi, or remain effective for a specified period as agreed by the parties which can be extended unilaterally by Beijing DiDi.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Spousal Consent Letters</w:t>
      </w:r>
      <w:r>
        <w:rPr>
          <w:rFonts w:ascii="Times New Roman;Times;serif" w:hAnsi="Times New Roman;Times;serif"/>
          <w:sz w:val="20"/>
        </w:rPr>
        <w:t>. The spouses of the shareholders of Xiaoju Technology have each signed a spousal consent letter agreeing that the equity interests in Xiaoju Technology held by and registered under the name of the respective shareholders will be disposed pursuant to the contractual agreements with Beijing DiDi. Each spouse agreed not to assert any rights over the equity interest in Xiaoju Technology held by the respective shareholder.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opinion of Fangda Partners, our PRC legal counsel:</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structure of our principal variable interest entity, Xiaoju Technology and our PRC subsidiary, Beijing DiDi, currently does not, and will not result in any violation of the applicable PRC laws or regulations currently in effect;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under the contractual arrangement among Beijing DiDi, Xiaoju Technology and its shareholders are currently valid, binding and enforceable in accordance with their terms and the applicable PRC laws or regulations currently in effect, and do not result in any violation of the applicable PRC laws or regulations currently in effect. However, Fangda Partners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legal counsel.</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 is uncertain whether any new PRC laws or regulations relating to variable interest entity structures will be adopted or if adopted, what they would provide. If we or the VIEs are found to be in violation of any existing or future PRC laws or regulations, or fail to obtain or maintain any of the required permits or approvals, we could be subject to severe penalties, including being prohibited from continuing operations. See “Item 3. Key Information—D. Risk Factors—Risks Relating to Our Corporate Structure” and “Item 3. Key Information—D. Risk Factors—Risks Relating to Doing Business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4"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leased office facilities around the world totaling over 290,000 square meters, including 21,693 square meters for our corporate headquarters in Beijing, China. We also lease offices in other parts of China and a number of other countries, including the United States, Mexico and Brazil.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lease our premises under lease agreements. The lease terms are generally from one to six years with an option for us to renew. We believe that our existing facilities are generally adequate to meet our current needs, but we expect to seek additional space as needed to accommodate future growth.</w:t>
      </w:r>
    </w:p>
    <w:p>
      <w:pPr>
        <w:pStyle w:val="TextBody"/>
        <w:spacing w:before="0" w:after="0"/>
        <w:ind w:left="0" w:right="0" w:firstLine="720"/>
        <w:rPr/>
      </w:pPr>
      <w:r>
        <w:rPr/>
        <w:t>​</w:t>
      </w:r>
    </w:p>
    <w:p>
      <w:pPr>
        <w:pStyle w:val="TextBody"/>
        <w:pBdr/>
        <w:spacing w:before="0" w:after="240"/>
        <w:ind w:left="0" w:right="0" w:hanging="720"/>
        <w:rPr>
          <w:rFonts w:ascii="Times New Roman;Times;serif" w:hAnsi="Times New Roman;Times;serif"/>
          <w:b/>
          <w:sz w:val="20"/>
        </w:rPr>
      </w:pPr>
      <w:bookmarkStart w:id="58" w:name="Item4AUnresolvedStaffComments_600028"/>
      <w:bookmarkStart w:id="59" w:name="_f38acaff_1335_4a07_b621_0b963137c9c5"/>
      <w:bookmarkEnd w:id="58"/>
      <w:bookmarkEnd w:id="59"/>
      <w:r>
        <w:rPr>
          <w:rFonts w:ascii="Times New Roman;Times;serif" w:hAnsi="Times New Roman;Times;serif"/>
          <w:b/>
          <w:sz w:val="20"/>
        </w:rPr>
        <w:t>Item 4A.       Unresolved Staff Comments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720"/>
        <w:rPr/>
      </w:pPr>
      <w:r>
        <w:rPr/>
        <w:t>​</w:t>
      </w:r>
    </w:p>
    <w:p>
      <w:pPr>
        <w:pStyle w:val="Normal"/>
        <w:spacing w:before="0" w:after="0"/>
        <w:rPr>
          <w:sz w:val="4"/>
          <w:szCs w:val="4"/>
        </w:rPr>
      </w:pPr>
      <w:r>
        <w:rPr>
          <w:sz w:val="4"/>
          <w:szCs w:val="4"/>
        </w:rPr>
      </w:r>
      <w:bookmarkStart w:id="60" w:name="Item5OperatingandFinancialReviewandProsp"/>
      <w:bookmarkStart w:id="61" w:name="_d0a5c617_5b7e_4c00_b8a3_af1720f05ce5"/>
      <w:bookmarkStart w:id="62" w:name="Item5OperatingandFinancialReviewandProsp"/>
      <w:bookmarkStart w:id="63" w:name="_d0a5c617_5b7e_4c00_b8a3_af1720f05ce5"/>
      <w:bookmarkEnd w:id="62"/>
      <w:bookmarkEnd w:id="63"/>
    </w:p>
    <w:tbl>
      <w:tblPr>
        <w:tblW w:w="4817" w:type="dxa"/>
        <w:jc w:val="left"/>
        <w:tblInd w:w="0" w:type="dxa"/>
        <w:tblCellMar>
          <w:top w:w="0" w:type="dxa"/>
          <w:left w:w="0" w:type="dxa"/>
          <w:bottom w:w="0" w:type="dxa"/>
          <w:right w:w="0" w:type="dxa"/>
        </w:tblCellMar>
      </w:tblPr>
      <w:tblGrid>
        <w:gridCol w:w="706"/>
        <w:gridCol w:w="411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5.</w:t>
            </w:r>
          </w:p>
        </w:tc>
        <w:tc>
          <w:tcPr>
            <w:tcW w:w="41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Operating and Financial Review and Prospects</w:t>
            </w:r>
          </w:p>
        </w:tc>
      </w:tr>
    </w:tbl>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Operating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leading technology platform for shared mobility, with operations in China and 15 other countries through our platforms or our partnerships across the world. Our business model comprises four key components:</w:t>
      </w:r>
    </w:p>
    <w:tbl>
      <w:tblPr>
        <w:tblW w:w="1866" w:type="dxa"/>
        <w:jc w:val="left"/>
        <w:tblInd w:w="0" w:type="dxa"/>
        <w:tblCellMar>
          <w:top w:w="28" w:type="dxa"/>
          <w:left w:w="28" w:type="dxa"/>
          <w:bottom w:w="28" w:type="dxa"/>
          <w:right w:w="28" w:type="dxa"/>
        </w:tblCellMar>
      </w:tblPr>
      <w:tblGrid>
        <w:gridCol w:w="124"/>
        <w:gridCol w:w="256"/>
        <w:gridCol w:w="1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mobility;</w:t>
            </w:r>
          </w:p>
        </w:tc>
      </w:tr>
    </w:tbl>
    <w:tbl>
      <w:tblPr>
        <w:tblW w:w="2826" w:type="dxa"/>
        <w:jc w:val="left"/>
        <w:tblInd w:w="0" w:type="dxa"/>
        <w:tblCellMar>
          <w:top w:w="28" w:type="dxa"/>
          <w:left w:w="28" w:type="dxa"/>
          <w:bottom w:w="28" w:type="dxa"/>
          <w:right w:w="28" w:type="dxa"/>
        </w:tblCellMar>
      </w:tblPr>
      <w:tblGrid>
        <w:gridCol w:w="124"/>
        <w:gridCol w:w="256"/>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vehicle services;</w:t>
            </w:r>
          </w:p>
        </w:tc>
      </w:tr>
    </w:tbl>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mobility; and</w:t>
            </w:r>
          </w:p>
        </w:tc>
      </w:tr>
    </w:tbl>
    <w:tbl>
      <w:tblPr>
        <w:tblW w:w="2226" w:type="dxa"/>
        <w:jc w:val="left"/>
        <w:tblInd w:w="0" w:type="dxa"/>
        <w:tblCellMar>
          <w:top w:w="28" w:type="dxa"/>
          <w:left w:w="28" w:type="dxa"/>
          <w:bottom w:w="28" w:type="dxa"/>
          <w:right w:w="28" w:type="dxa"/>
        </w:tblCellMar>
      </w:tblPr>
      <w:tblGrid>
        <w:gridCol w:w="124"/>
        <w:gridCol w:w="256"/>
        <w:gridCol w:w="1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has achieved significant scale since our founding in 2012. Our revenues were RMB141.7 billion, RMB173.8 billion and RMB140.8 billion (US$20.4 billion) in 2020, 2021 and 2022, respectively. Our net loss was RMB10.6 billion, RMB49.3 billion and RMB23.8 billion (US$3.4 billion) in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define Core Platform GTV as sum of GTV for our China Mobility and International segments. Core Platform GTV is an indication of the scale of our platform, which ultimately impacts revenues. Our Core Platform GTV was RMB214.6 billion, RMB271.5 billion and RMB236.0 billion (US$34.2 billion) in 2020, 2021 and 2022,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FINANCIAL AND OPERATING MODEL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operate our business in three segments: China Mobility, International and Other Initiatives. Our China Mobility segment accounts for the vast majority of our total revenues. Our International segment consists of our businesses outside of China, and our Other Initiatives segment comprises our new initiatives.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sets forth our principal operations under each of the segments.</w:t>
      </w:r>
    </w:p>
    <w:p>
      <w:pPr>
        <w:pStyle w:val="TextBody"/>
        <w:spacing w:before="0" w:after="0"/>
        <w:ind w:left="0" w:right="0" w:firstLine="720"/>
        <w:rPr/>
      </w:pPr>
      <w:r>
        <w:rPr/>
        <w:t>​</w:t>
      </w:r>
    </w:p>
    <w:tbl>
      <w:tblPr>
        <w:tblW w:w="6610" w:type="dxa"/>
        <w:jc w:val="left"/>
        <w:tblInd w:w="0" w:type="dxa"/>
        <w:tblCellMar>
          <w:top w:w="0" w:type="dxa"/>
          <w:left w:w="0" w:type="dxa"/>
          <w:bottom w:w="0" w:type="dxa"/>
          <w:right w:w="0" w:type="dxa"/>
        </w:tblCellMar>
      </w:tblPr>
      <w:tblGrid>
        <w:gridCol w:w="1396"/>
        <w:gridCol w:w="326"/>
        <w:gridCol w:w="1276"/>
        <w:gridCol w:w="326"/>
        <w:gridCol w:w="3286"/>
      </w:tblGrid>
      <w:tr>
        <w:trPr/>
        <w:tc>
          <w:tcPr>
            <w:tcW w:w="1396"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1276"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3286" w:type="dxa"/>
            <w:tcBorders/>
            <w:shd w:fill="auto" w:val="clear"/>
            <w:vAlign w:val="center"/>
          </w:tcPr>
          <w:p>
            <w:pPr>
              <w:pStyle w:val="TableHeading"/>
              <w:spacing w:before="0" w:after="283"/>
              <w:ind w:left="0" w:right="0" w:hanging="0"/>
              <w:rPr>
                <w:sz w:val="4"/>
                <w:szCs w:val="4"/>
              </w:rPr>
            </w:pPr>
            <w:r>
              <w:rPr>
                <w:sz w:val="4"/>
                <w:szCs w:val="4"/>
              </w:rPr>
            </w:r>
          </w:p>
        </w:tc>
      </w:tr>
      <w:tr>
        <w:trPr/>
        <w:tc>
          <w:tcPr>
            <w:tcW w:w="1396" w:type="dxa"/>
            <w:tcBorders/>
            <w:shd w:fill="auto" w:val="clear"/>
            <w:vAlign w:val="center"/>
          </w:tcPr>
          <w:p>
            <w:pPr>
              <w:pStyle w:val="TableHeading"/>
              <w:pBdr>
                <w:bottom w:val="single" w:sz="2" w:space="1" w:color="000000"/>
              </w:pBdr>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China Mobility</w:t>
            </w:r>
          </w:p>
        </w:tc>
        <w:tc>
          <w:tcPr>
            <w:tcW w:w="326" w:type="dxa"/>
            <w:tcBorders/>
            <w:shd w:fill="auto" w:val="clear"/>
            <w:vAlign w:val="center"/>
          </w:tcPr>
          <w:p>
            <w:pPr>
              <w:pStyle w:val="TableHeading"/>
              <w:spacing w:before="0" w:after="0"/>
              <w:ind w:left="0" w:right="0" w:hanging="0"/>
              <w:jc w:val="both"/>
              <w:rPr/>
            </w:pPr>
            <w:r>
              <w:rPr/>
              <w:t>    </w:t>
            </w:r>
          </w:p>
        </w:tc>
        <w:tc>
          <w:tcPr>
            <w:tcW w:w="1276" w:type="dxa"/>
            <w:tcBorders/>
            <w:shd w:fill="auto" w:val="clear"/>
            <w:vAlign w:val="center"/>
          </w:tcPr>
          <w:p>
            <w:pPr>
              <w:pStyle w:val="TableHeading"/>
              <w:pBdr>
                <w:bottom w:val="single" w:sz="2" w:space="1" w:color="000000"/>
              </w:pBdr>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International</w:t>
            </w:r>
          </w:p>
        </w:tc>
        <w:tc>
          <w:tcPr>
            <w:tcW w:w="326" w:type="dxa"/>
            <w:tcBorders/>
            <w:shd w:fill="auto" w:val="clear"/>
            <w:vAlign w:val="center"/>
          </w:tcPr>
          <w:p>
            <w:pPr>
              <w:pStyle w:val="TableHeading"/>
              <w:spacing w:before="0" w:after="0"/>
              <w:ind w:left="0" w:right="0" w:hanging="0"/>
              <w:jc w:val="both"/>
              <w:rPr/>
            </w:pPr>
            <w:r>
              <w:rPr/>
              <w:t>    </w:t>
            </w:r>
          </w:p>
        </w:tc>
        <w:tc>
          <w:tcPr>
            <w:tcW w:w="3286" w:type="dxa"/>
            <w:tcBorders/>
            <w:shd w:fill="auto" w:val="clear"/>
            <w:vAlign w:val="center"/>
          </w:tcPr>
          <w:p>
            <w:pPr>
              <w:pStyle w:val="TableHeading"/>
              <w:pBdr>
                <w:bottom w:val="single" w:sz="2" w:space="1" w:color="000000"/>
              </w:pBdr>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Other Initiatives</w:t>
            </w:r>
          </w:p>
        </w:tc>
      </w:tr>
      <w:tr>
        <w:trPr/>
        <w:tc>
          <w:tcPr>
            <w:tcW w:w="139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Ride Hailing</w:t>
            </w:r>
          </w:p>
        </w:tc>
        <w:tc>
          <w:tcPr>
            <w:tcW w:w="326" w:type="dxa"/>
            <w:tcBorders/>
            <w:shd w:fill="CCEEFF" w:val="clear"/>
            <w:vAlign w:val="center"/>
          </w:tcPr>
          <w:p>
            <w:pPr>
              <w:pStyle w:val="TableContents"/>
              <w:spacing w:before="0" w:after="0"/>
              <w:ind w:left="0" w:right="0" w:hanging="0"/>
              <w:jc w:val="both"/>
              <w:rPr/>
            </w:pPr>
            <w:r>
              <w:rPr/>
              <w:t>​</w:t>
            </w:r>
          </w:p>
        </w:tc>
        <w:tc>
          <w:tcPr>
            <w:tcW w:w="127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Ride Hailing</w:t>
            </w:r>
          </w:p>
        </w:tc>
        <w:tc>
          <w:tcPr>
            <w:tcW w:w="326" w:type="dxa"/>
            <w:tcBorders/>
            <w:shd w:fill="CCEEFF" w:val="clear"/>
            <w:vAlign w:val="center"/>
          </w:tcPr>
          <w:p>
            <w:pPr>
              <w:pStyle w:val="TableContents"/>
              <w:spacing w:before="0" w:after="0"/>
              <w:ind w:left="0" w:right="0" w:hanging="0"/>
              <w:jc w:val="both"/>
              <w:rPr/>
            </w:pPr>
            <w:r>
              <w:rPr/>
              <w:t>​</w:t>
            </w:r>
          </w:p>
        </w:tc>
        <w:tc>
          <w:tcPr>
            <w:tcW w:w="328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Bike and E-Bike Sharing</w:t>
            </w:r>
          </w:p>
        </w:tc>
      </w:tr>
      <w:tr>
        <w:trPr/>
        <w:tc>
          <w:tcPr>
            <w:tcW w:w="1396"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Taxi Hailing</w:t>
            </w:r>
          </w:p>
        </w:tc>
        <w:tc>
          <w:tcPr>
            <w:tcW w:w="326" w:type="dxa"/>
            <w:tcBorders/>
            <w:shd w:fill="auto" w:val="clear"/>
            <w:vAlign w:val="center"/>
          </w:tcPr>
          <w:p>
            <w:pPr>
              <w:pStyle w:val="TableContents"/>
              <w:spacing w:before="0" w:after="0"/>
              <w:ind w:left="0" w:right="0" w:hanging="0"/>
              <w:jc w:val="both"/>
              <w:rPr/>
            </w:pPr>
            <w:r>
              <w:rPr/>
              <w:t>​</w:t>
            </w:r>
          </w:p>
        </w:tc>
        <w:tc>
          <w:tcPr>
            <w:tcW w:w="1276"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Food Delivery</w:t>
            </w:r>
          </w:p>
        </w:tc>
        <w:tc>
          <w:tcPr>
            <w:tcW w:w="326" w:type="dxa"/>
            <w:tcBorders/>
            <w:shd w:fill="auto" w:val="clear"/>
            <w:vAlign w:val="center"/>
          </w:tcPr>
          <w:p>
            <w:pPr>
              <w:pStyle w:val="TableContents"/>
              <w:spacing w:before="0" w:after="0"/>
              <w:ind w:left="0" w:right="0" w:hanging="0"/>
              <w:jc w:val="both"/>
              <w:rPr/>
            </w:pPr>
            <w:r>
              <w:rPr/>
              <w:t>​</w:t>
            </w:r>
          </w:p>
        </w:tc>
        <w:tc>
          <w:tcPr>
            <w:tcW w:w="3286"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Certain Energy and Vehicle Services</w:t>
            </w:r>
            <w:r>
              <w:rPr>
                <w:rFonts w:ascii="Times New Roman;Times;serif" w:hAnsi="Times New Roman;Times;serif"/>
                <w:sz w:val="15"/>
              </w:rPr>
              <w:t>(1)</w:t>
            </w:r>
          </w:p>
        </w:tc>
      </w:tr>
      <w:tr>
        <w:trPr/>
        <w:tc>
          <w:tcPr>
            <w:tcW w:w="139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Chauffeur</w:t>
            </w:r>
          </w:p>
        </w:tc>
        <w:tc>
          <w:tcPr>
            <w:tcW w:w="326" w:type="dxa"/>
            <w:tcBorders/>
            <w:shd w:fill="CCEEFF" w:val="clear"/>
            <w:vAlign w:val="center"/>
          </w:tcPr>
          <w:p>
            <w:pPr>
              <w:pStyle w:val="TableContents"/>
              <w:spacing w:before="0" w:after="0"/>
              <w:ind w:left="0" w:right="0" w:hanging="0"/>
              <w:jc w:val="both"/>
              <w:rPr/>
            </w:pPr>
            <w:r>
              <w:rPr/>
              <w:t>​</w:t>
            </w:r>
          </w:p>
        </w:tc>
        <w:tc>
          <w:tcPr>
            <w:tcW w:w="127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328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Intra-city Freight</w:t>
            </w:r>
          </w:p>
        </w:tc>
      </w:tr>
      <w:tr>
        <w:trPr/>
        <w:tc>
          <w:tcPr>
            <w:tcW w:w="139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jc w:val="both"/>
              <w:rPr/>
            </w:pPr>
            <w:r>
              <w:rPr/>
              <w:t>​</w:t>
            </w:r>
          </w:p>
        </w:tc>
        <w:tc>
          <w:tcPr>
            <w:tcW w:w="127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286"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Autonomous Driving</w:t>
            </w:r>
          </w:p>
        </w:tc>
      </w:tr>
      <w:tr>
        <w:trPr/>
        <w:tc>
          <w:tcPr>
            <w:tcW w:w="139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7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3286"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jc w:val="both"/>
              <w:rPr>
                <w:rFonts w:ascii="Times New Roman;Times;serif" w:hAnsi="Times New Roman;Times;serif"/>
                <w:sz w:val="20"/>
              </w:rPr>
            </w:pPr>
            <w:r>
              <w:rPr>
                <w:rFonts w:ascii="Times New Roman;Times;serif" w:hAnsi="Times New Roman;Times;serif"/>
                <w:sz w:val="20"/>
              </w:rPr>
              <w:t>Financial Services</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Energy and Vehicle Services include our refueling, charging, maintenance and repair businesses, plus the leasing business that we carry out ourselves. The leasing business carried out by our business partners is included under China Mobility.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evaluate our performance, we primarily look at several metrics: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Transactions. </w:t>
            </w:r>
            <w:r>
              <w:rPr>
                <w:rFonts w:ascii="Times New Roman;Times;serif" w:hAnsi="Times New Roman;Times;serif"/>
                <w:b w:val="false"/>
                <w:i w:val="false"/>
                <w:caps w:val="false"/>
                <w:smallCaps w:val="false"/>
                <w:sz w:val="20"/>
              </w:rPr>
              <w:t>The number of completed rides for our China Mobility segment, completed rides or food deliveries for our International segment, and completed bike and e-bike sharing, energy and vehicle services, intra-city freight and financial services transactions. Transactions are counted by the number of orders completed, so a carpooling ride with two paying consumers represents two transactions, even if both consumers start and end their ride at the same place, whereas two passengers on the same ride hailing transaction count as one transaction.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GTV.</w:t>
            </w:r>
            <w:r>
              <w:rPr>
                <w:caps w:val="false"/>
                <w:smallCaps w:val="false"/>
              </w:rPr>
              <w:t xml:space="preserve"> </w:t>
            </w:r>
            <w:r>
              <w:rPr>
                <w:rFonts w:ascii="Times New Roman;Times;serif" w:hAnsi="Times New Roman;Times;serif"/>
                <w:b w:val="false"/>
                <w:i w:val="false"/>
                <w:caps w:val="false"/>
                <w:smallCaps w:val="false"/>
                <w:sz w:val="20"/>
              </w:rPr>
              <w:t>The total dollar value, including any applicable taxes, tolls and fees, of completed Transactions without any adjustment for consumer incentives or for earnings and incentives paid to drivers for mobility services, merchant or delivery partners for food delivery services, or service partners for other initiatives.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Platform Sales: </w:t>
            </w:r>
            <w:r>
              <w:rPr>
                <w:rFonts w:ascii="Times New Roman;Times;serif" w:hAnsi="Times New Roman;Times;serif"/>
                <w:b w:val="false"/>
                <w:i w:val="false"/>
                <w:caps w:val="false"/>
                <w:smallCaps w:val="false"/>
                <w:sz w:val="20"/>
              </w:rPr>
              <w:t>We define Platform Sales as GTV less all of the earnings and incentives paid to drivers and partners, tolls, fees, taxes and others. Platform Sales enables us to compare the performance of our China Mobility and International segments on a like-for-like basis.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Revenues. </w:t>
            </w:r>
            <w:r>
              <w:rPr>
                <w:rFonts w:ascii="Times New Roman;Times;serif" w:hAnsi="Times New Roman;Times;serif"/>
                <w:b w:val="false"/>
                <w:i w:val="false"/>
                <w:caps w:val="false"/>
                <w:smallCaps w:val="false"/>
                <w:sz w:val="20"/>
              </w:rPr>
              <w:t>For each of our service offerings, we recognize revenues differently depending on who the customer is and whether we are the 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For additional discussion related to revenues, see Note 3.24 to our consolidated financial statements.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Adjusted EBITA. </w:t>
            </w:r>
            <w:r>
              <w:rPr>
                <w:rFonts w:ascii="Times New Roman;Times;serif" w:hAnsi="Times New Roman;Times;serif"/>
                <w:b w:val="false"/>
                <w:i w:val="false"/>
                <w:caps w:val="false"/>
                <w:smallCaps w:val="false"/>
                <w:sz w:val="20"/>
              </w:rPr>
              <w:t>We define Adjusted EBITA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 which we do not believe are reflective of our operating performance. See “—Non-GAAP Financial Measure.”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China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China Mobility segment mainly comprises our ride hailing, taxi hailing and chauffeur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ride hailing, we act as the principal in providing mobility services to consumers. We generate revenues on a gross basis from the amount paid by consumers for our service. Our revenues are equal to GTV less (i) tolls, fees and taxes and (ii) consumer incentives. Our revenues from ride hailing services in the PRC presented on a gross basis accounted for the vast majority of the total revenues within China Mobility for the years ended December 31, 2020, 2021 and 2022. Driver earnings and incentives are charged to cost of revenues.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taxi hailing and chauffeur, we act as an agent by facilitating drivers or partners who provide taxi hailing and chauffeur services to consumers who need such services. We generate revenues on a net basis from commissions that are paid by drivers or partners. These commissions represent a portion of the transaction value. Our revenues are equal to GTV less (i) tolls, fees and taxes and (ii) driver or partner earnings and incentives. Consumer incentives are generally charged to sales and marketing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illustrates how we recognize revenues and where we record earnings and incentives under a hypothetical scenario for gross and net basis revenue recognition in our China Mobility segment. The numbers in the table are included solely for purposes of better illustrating the nature of the accounting treatment and do not necessarily bear any relationship to the actual numbers in any transaction or set of transactions.</w:t>
      </w:r>
    </w:p>
    <w:p>
      <w:pPr>
        <w:pStyle w:val="TextBody"/>
        <w:spacing w:before="0" w:after="0"/>
        <w:ind w:left="0" w:right="0" w:firstLine="720"/>
        <w:rPr/>
      </w:pPr>
      <w:r>
        <w:rPr/>
        <w:t>​</w:t>
      </w:r>
    </w:p>
    <w:tbl>
      <w:tblPr>
        <w:tblW w:w="4990" w:type="dxa"/>
        <w:jc w:val="left"/>
        <w:tblInd w:w="0" w:type="dxa"/>
        <w:tblCellMar>
          <w:top w:w="0" w:type="dxa"/>
          <w:left w:w="0" w:type="dxa"/>
          <w:bottom w:w="0" w:type="dxa"/>
          <w:right w:w="0" w:type="dxa"/>
        </w:tblCellMar>
      </w:tblPr>
      <w:tblGrid>
        <w:gridCol w:w="2596"/>
        <w:gridCol w:w="326"/>
        <w:gridCol w:w="931"/>
        <w:gridCol w:w="326"/>
        <w:gridCol w:w="811"/>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48460" cy="175260"/>
                      <wp:effectExtent l="0" t="0" r="0" b="0"/>
                      <wp:wrapNone/>
                      <wp:docPr id="126" name="Frame119"/>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7"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28" name="Frame1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14985" cy="175260"/>
                      <wp:effectExtent l="0" t="0" r="0" b="0"/>
                      <wp:wrapNone/>
                      <wp:docPr id="130" name="Frame12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Basis</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Basis</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Consumer Pays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GTV</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Tolls, Fees and Taxes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Driver Earnings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Driver Incentives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Driver Earnings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Driver Incentives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59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r>
      <w:tr>
        <w:trPr/>
        <w:tc>
          <w:tcPr>
            <w:tcW w:w="259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Consumer Incentives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illustrates key metrics for our China Mobility segment for the periods indicated.</w:t>
      </w:r>
    </w:p>
    <w:p>
      <w:pPr>
        <w:pStyle w:val="TextBody"/>
        <w:spacing w:before="0" w:after="0"/>
        <w:ind w:left="0" w:right="0" w:firstLine="720"/>
        <w:rPr/>
      </w:pPr>
      <w:r>
        <w:rPr/>
        <w:t>​</w:t>
      </w:r>
    </w:p>
    <w:tbl>
      <w:tblPr>
        <w:tblW w:w="7597" w:type="dxa"/>
        <w:jc w:val="left"/>
        <w:tblInd w:w="0" w:type="dxa"/>
        <w:tblCellMar>
          <w:top w:w="0" w:type="dxa"/>
          <w:left w:w="0" w:type="dxa"/>
          <w:bottom w:w="0" w:type="dxa"/>
          <w:right w:w="0" w:type="dxa"/>
        </w:tblCellMar>
      </w:tblPr>
      <w:tblGrid>
        <w:gridCol w:w="4231"/>
        <w:gridCol w:w="326"/>
        <w:gridCol w:w="781"/>
        <w:gridCol w:w="326"/>
        <w:gridCol w:w="781"/>
        <w:gridCol w:w="326"/>
        <w:gridCol w:w="826"/>
      </w:tblGrid>
      <w:tr>
        <w:trPr/>
        <w:tc>
          <w:tcPr>
            <w:tcW w:w="4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86685" cy="175260"/>
                      <wp:effectExtent l="0" t="0" r="0" b="0"/>
                      <wp:wrapNone/>
                      <wp:docPr id="131" name="Frame124"/>
                      <a:graphic xmlns:a="http://schemas.openxmlformats.org/drawingml/2006/main">
                        <a:graphicData uri="http://schemas.microsoft.com/office/word/2010/wordprocessingShape">
                          <wps:wsp>
                            <wps:cNvSpPr txBox="1"/>
                            <wps:spPr>
                              <a:xfrm>
                                <a:off x="0" y="0"/>
                                <a:ext cx="2686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3" name="Frame12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4"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5" name="Frame1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4510" cy="175260"/>
                      <wp:effectExtent l="0" t="0" r="0" b="0"/>
                      <wp:wrapNone/>
                      <wp:docPr id="137" name="Frame130"/>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December 31,</w: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Metrics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Transactions (in 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7,750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9,514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7,733</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GTV (in RMB millions)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189,002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233,845</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186,174</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Platform Sales (in RMB 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32,366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38,962</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34,627</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Revenues (in RMB 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133,645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160,521</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r>
      <w:tr>
        <w:trPr/>
        <w:tc>
          <w:tcPr>
            <w:tcW w:w="4231"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 xml:space="preserve">(1) </w:t>
            </w:r>
            <w:r>
              <w:rPr>
                <w:rFonts w:ascii="Times New Roman;Times;serif" w:hAnsi="Times New Roman;Times;serif"/>
                <w:sz w:val="20"/>
              </w:rPr>
              <w:t>(in RMB millions)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CellMar>
          <w:top w:w="0" w:type="dxa"/>
          <w:left w:w="0" w:type="dxa"/>
          <w:bottom w:w="0" w:type="dxa"/>
          <w:right w:w="0" w:type="dxa"/>
        </w:tblCellMar>
      </w:tblPr>
      <w:tblGrid>
        <w:gridCol w:w="346"/>
        <w:gridCol w:w="336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3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International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International segment mainly includes our ride hailing and food delivery services in international markets, outside of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act as an agent by connecting consumers who need various services to drivers or partners who provide such services. We generate revenues on a net basis from commissions which are paid by drivers or partners. These commissions represent a portion of the transaction value for the service. Our revenues for our International business are equal to GTV less (i) tolls, fees and taxes and (ii) driver and partner earnings and incentives. Consumer incentives are generally charged to sales and marketing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illustrates how we generate revenues and where we record earnings and incentives under a hypothetical scenario for our International segment. The numbers in the table are included solely for purposes of better illustrating the nature of the accounting treatment and do not necessarily bear any relationship to the actual numbers in any transaction or set of transactions.</w:t>
      </w:r>
    </w:p>
    <w:p>
      <w:pPr>
        <w:pStyle w:val="TextBody"/>
        <w:spacing w:before="0" w:after="0"/>
        <w:ind w:left="0" w:right="0" w:firstLine="720"/>
        <w:rPr/>
      </w:pPr>
      <w:r>
        <w:rPr/>
        <w:t>​</w:t>
      </w:r>
    </w:p>
    <w:tbl>
      <w:tblPr>
        <w:tblW w:w="4243" w:type="dxa"/>
        <w:jc w:val="left"/>
        <w:tblInd w:w="0" w:type="dxa"/>
        <w:tblCellMar>
          <w:top w:w="0" w:type="dxa"/>
          <w:left w:w="0" w:type="dxa"/>
          <w:bottom w:w="0" w:type="dxa"/>
          <w:right w:w="0" w:type="dxa"/>
        </w:tblCellMar>
      </w:tblPr>
      <w:tblGrid>
        <w:gridCol w:w="3106"/>
        <w:gridCol w:w="326"/>
        <w:gridCol w:w="811"/>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72310" cy="175260"/>
                      <wp:effectExtent l="0" t="0" r="0" b="0"/>
                      <wp:wrapNone/>
                      <wp:docPr id="138" name="Frame131"/>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14985" cy="175260"/>
                      <wp:effectExtent l="0" t="0" r="0" b="0"/>
                      <wp:wrapNone/>
                      <wp:docPr id="140" name="Frame13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Basis</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1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Consumer Incentives</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10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Consumer Pays</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 Price of RMB10.0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1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Tolls, Fees and Taxes</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GTV</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w:t>
            </w:r>
          </w:p>
        </w:tc>
      </w:tr>
      <w:tr>
        <w:trPr/>
        <w:tc>
          <w:tcPr>
            <w:tcW w:w="31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Tolls, Fees and Taxes</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Less: Driver and Partner Earnings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10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Less: Driver and Partner Incentives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310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310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Consumer Incentives</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w:t>
      </w:r>
    </w:p>
    <w:tbl>
      <w:tblPr>
        <w:tblW w:w="5342" w:type="dxa"/>
        <w:jc w:val="left"/>
        <w:tblInd w:w="0" w:type="dxa"/>
        <w:tblCellMar>
          <w:top w:w="0" w:type="dxa"/>
          <w:left w:w="0" w:type="dxa"/>
          <w:bottom w:w="0" w:type="dxa"/>
          <w:right w:w="0" w:type="dxa"/>
        </w:tblCellMar>
      </w:tblPr>
      <w:tblGrid>
        <w:gridCol w:w="346"/>
        <w:gridCol w:w="49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refers to the applicable merchant or delivery partner.</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illustrates key metrics for our International segment for the periods indicated.</w:t>
      </w:r>
    </w:p>
    <w:p>
      <w:pPr>
        <w:pStyle w:val="TextBody"/>
        <w:spacing w:before="0" w:after="0"/>
        <w:ind w:left="0" w:right="0" w:firstLine="720"/>
        <w:rPr/>
      </w:pPr>
      <w:r>
        <w:rPr/>
        <w:t>​</w:t>
      </w:r>
    </w:p>
    <w:tbl>
      <w:tblPr>
        <w:tblW w:w="7327" w:type="dxa"/>
        <w:jc w:val="left"/>
        <w:tblInd w:w="0" w:type="dxa"/>
        <w:tblCellMar>
          <w:top w:w="0" w:type="dxa"/>
          <w:left w:w="0" w:type="dxa"/>
          <w:bottom w:w="0" w:type="dxa"/>
          <w:right w:w="0" w:type="dxa"/>
        </w:tblCellMar>
      </w:tblPr>
      <w:tblGrid>
        <w:gridCol w:w="4231"/>
        <w:gridCol w:w="326"/>
        <w:gridCol w:w="691"/>
        <w:gridCol w:w="326"/>
        <w:gridCol w:w="691"/>
        <w:gridCol w:w="326"/>
        <w:gridCol w:w="736"/>
      </w:tblGrid>
      <w:tr>
        <w:trPr/>
        <w:tc>
          <w:tcPr>
            <w:tcW w:w="4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86685" cy="175260"/>
                      <wp:effectExtent l="0" t="0" r="0" b="0"/>
                      <wp:wrapNone/>
                      <wp:docPr id="141" name="Frame134"/>
                      <a:graphic xmlns:a="http://schemas.openxmlformats.org/drawingml/2006/main">
                        <a:graphicData uri="http://schemas.microsoft.com/office/word/2010/wordprocessingShape">
                          <wps:wsp>
                            <wps:cNvSpPr txBox="1"/>
                            <wps:spPr>
                              <a:xfrm>
                                <a:off x="0" y="0"/>
                                <a:ext cx="2686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3" name="Frame13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4"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8785" cy="175260"/>
                      <wp:effectExtent l="0" t="0" r="0" b="0"/>
                      <wp:wrapNone/>
                      <wp:docPr id="145" name="Frame13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6"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7" name="Frame14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7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7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Metrics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Transactions (in millions)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GTV (in RMB millions)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25,584</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37,700</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49,821</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Platform Sales (in RMB millions)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3,254</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6,013</w:t>
            </w:r>
          </w:p>
        </w:tc>
      </w:tr>
      <w:tr>
        <w:trPr/>
        <w:tc>
          <w:tcPr>
            <w:tcW w:w="423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r>
      <w:tr>
        <w:trPr/>
        <w:tc>
          <w:tcPr>
            <w:tcW w:w="42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Revenues (in RMB millions)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r>
      <w:tr>
        <w:trPr/>
        <w:tc>
          <w:tcPr>
            <w:tcW w:w="4231"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 xml:space="preserve">(1) </w:t>
            </w:r>
            <w:r>
              <w:rPr>
                <w:rFonts w:ascii="Times New Roman;Times;serif" w:hAnsi="Times New Roman;Times;serif"/>
                <w:sz w:val="20"/>
              </w:rPr>
              <w:t>(in RMB millions)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(3,534)</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CellMar>
          <w:top w:w="0" w:type="dxa"/>
          <w:left w:w="0" w:type="dxa"/>
          <w:bottom w:w="0" w:type="dxa"/>
          <w:right w:w="0" w:type="dxa"/>
        </w:tblCellMar>
      </w:tblPr>
      <w:tblGrid>
        <w:gridCol w:w="346"/>
        <w:gridCol w:w="336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3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Initiatives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Initiatives mainly consist of bike and e-bike sharing, certain energy and vehicle services, intra-city freight, autonomous driving and financial services. Revenue recognition for Other Initiatives varies depending on whether we are principal or agent in providing such services. See Note 3.24 to our consolidated financial statements. We attracted outside funding for our bike and e-bike sharing, autonomous driving, community group buying and intra-city freight businesses. See “Item 4. Information on the Company—A. History and Development of the Company—Subsidiary Financings”.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illustrates key metrics for our Other Initiatives segment for the periods indicated.</w:t>
      </w:r>
    </w:p>
    <w:p>
      <w:pPr>
        <w:pStyle w:val="TextBody"/>
        <w:spacing w:before="0" w:after="0"/>
        <w:ind w:left="0" w:right="0" w:firstLine="720"/>
        <w:rPr/>
      </w:pPr>
      <w:r>
        <w:rPr/>
        <w:t>​</w:t>
      </w:r>
    </w:p>
    <w:tbl>
      <w:tblPr>
        <w:tblW w:w="5887" w:type="dxa"/>
        <w:jc w:val="left"/>
        <w:tblInd w:w="0" w:type="dxa"/>
        <w:tblCellMar>
          <w:top w:w="0" w:type="dxa"/>
          <w:left w:w="0" w:type="dxa"/>
          <w:bottom w:w="0" w:type="dxa"/>
          <w:right w:w="0" w:type="dxa"/>
        </w:tblCellMar>
      </w:tblPr>
      <w:tblGrid>
        <w:gridCol w:w="2686"/>
        <w:gridCol w:w="326"/>
        <w:gridCol w:w="691"/>
        <w:gridCol w:w="326"/>
        <w:gridCol w:w="796"/>
        <w:gridCol w:w="326"/>
        <w:gridCol w:w="736"/>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05610" cy="175260"/>
                      <wp:effectExtent l="0" t="0" r="0" b="0"/>
                      <wp:wrapNone/>
                      <wp:docPr id="148" name="Frame141"/>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9"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0" name="Frame14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1"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5460" cy="175260"/>
                      <wp:effectExtent l="0" t="0" r="0" b="0"/>
                      <wp:wrapNone/>
                      <wp:docPr id="152" name="Frame14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3"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67360" cy="175260"/>
                      <wp:effectExtent l="0" t="0" r="0" b="0"/>
                      <wp:wrapNone/>
                      <wp:docPr id="154" name="Frame147"/>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8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268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Metrics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r>
      <w:tr>
        <w:trPr/>
        <w:tc>
          <w:tcPr>
            <w:tcW w:w="26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9,684</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r>
      <w:tr>
        <w:trPr/>
        <w:tc>
          <w:tcPr>
            <w:tcW w:w="2686"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Adjusted EBITA (non-GAAP)</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(8,807)</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(19,514)</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(7,295)</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w:t>
      </w:r>
    </w:p>
    <w:tbl>
      <w:tblPr>
        <w:tblW w:w="3707" w:type="dxa"/>
        <w:jc w:val="left"/>
        <w:tblInd w:w="0" w:type="dxa"/>
        <w:tblCellMar>
          <w:top w:w="0" w:type="dxa"/>
          <w:left w:w="0" w:type="dxa"/>
          <w:bottom w:w="0" w:type="dxa"/>
          <w:right w:w="0" w:type="dxa"/>
        </w:tblCellMar>
      </w:tblPr>
      <w:tblGrid>
        <w:gridCol w:w="346"/>
        <w:gridCol w:w="336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3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Adjusted EBITA is a non-GAAP financial measure used by our management to evaluate our operating performance. We believe that it provides useful information to investors and others in understanding and evaluating our operating results in the same manner as our management team and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define Adjusted EBITA (non-GAAP) as net income (loss) before (i) interest income, (ii) interest expenses, (iii) investment income (loss), net, (iv) impairment loss for equity investments accounted for using Measurement Alternative, (v) income (loss) from equity method investments, net, (vi) other income (loss), net, (vii) income tax benefits (expenses), (viii) share-based compensation expense, (ix) amortization of intangible assets and (x) impairment of goodwill and intangible assets acquired from business combination.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non-GAAP financial measure is not defined under U.S. GAAP and is not presented in accordance with U.S. GAAP. It should not be considered in isolation or construed as an alternative to net income (loss) or any other measure of performance or as an indicator of our operating performance. Investors are encouraged to review this historical non-GAAP financial measure in light of the most directly comparable GAAP measure, as shown below. The non-GAAP financial measure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sets forth a reconciliation of Adjusted EBITA (non-GAAP) to the most comparable financial measure or measures calculated and presented in accordance with U.S. GAAP, which is net loss, for each of the periods indicated.</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6813"/>
        <w:gridCol w:w="326"/>
        <w:gridCol w:w="789"/>
        <w:gridCol w:w="326"/>
        <w:gridCol w:w="789"/>
        <w:gridCol w:w="326"/>
        <w:gridCol w:w="836"/>
      </w:tblGrid>
      <w:tr>
        <w:trPr/>
        <w:tc>
          <w:tcPr>
            <w:tcW w:w="68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26255" cy="175260"/>
                      <wp:effectExtent l="0" t="0" r="0" b="0"/>
                      <wp:wrapNone/>
                      <wp:docPr id="155" name="Frame148"/>
                      <a:graphic xmlns:a="http://schemas.openxmlformats.org/drawingml/2006/main">
                        <a:graphicData uri="http://schemas.microsoft.com/office/word/2010/wordprocessingShape">
                          <wps:wsp>
                            <wps:cNvSpPr txBox="1"/>
                            <wps:spPr>
                              <a:xfrm>
                                <a:off x="0" y="0"/>
                                <a:ext cx="4326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01015" cy="175260"/>
                      <wp:effectExtent l="0" t="0" r="0" b="0"/>
                      <wp:wrapNone/>
                      <wp:docPr id="157" name="Frame150"/>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8"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01015" cy="175260"/>
                      <wp:effectExtent l="0" t="0" r="0" b="0"/>
                      <wp:wrapNone/>
                      <wp:docPr id="159" name="Frame152"/>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0"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0860" cy="175260"/>
                      <wp:effectExtent l="0" t="0" r="0" b="0"/>
                      <wp:wrapNone/>
                      <wp:docPr id="161" name="Frame154"/>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1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6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681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6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81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681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06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0"/>
              <w:ind w:left="0" w:right="0" w:hanging="0"/>
              <w:rPr/>
            </w:pPr>
            <w:r>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(10,608)</w:t>
            </w:r>
          </w:p>
        </w:tc>
        <w:tc>
          <w:tcPr>
            <w:tcW w:w="326" w:type="dxa"/>
            <w:tcBorders/>
            <w:shd w:fill="CCEEFF" w:val="clear"/>
            <w:vAlign w:val="center"/>
          </w:tcPr>
          <w:p>
            <w:pPr>
              <w:pStyle w:val="TableContents"/>
              <w:spacing w:before="0" w:after="0"/>
              <w:ind w:left="0" w:right="0" w:hanging="0"/>
              <w:rPr/>
            </w:pPr>
            <w:r>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(49,334)</w:t>
            </w:r>
          </w:p>
        </w:tc>
        <w:tc>
          <w:tcPr>
            <w:tcW w:w="326" w:type="dxa"/>
            <w:tcBorders/>
            <w:shd w:fill="CCEEFF" w:val="clear"/>
            <w:vAlign w:val="center"/>
          </w:tcPr>
          <w:p>
            <w:pPr>
              <w:pStyle w:val="TableContents"/>
              <w:spacing w:before="0" w:after="0"/>
              <w:ind w:left="0" w:right="0" w:hanging="0"/>
              <w:rPr/>
            </w:pPr>
            <w:r>
              <w:rPr/>
              <w:t>​</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(23,783)</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Interest income</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26"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r>
      <w:tr>
        <w:trPr/>
        <w:tc>
          <w:tcPr>
            <w:tcW w:w="68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 Interest expenses</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Investment income (loss), net</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Impairment loss for equity investments accounted for using Measurement Alternative</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Income (loss) from equity method investments, net</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Other income (loss), net</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Income tax benefits (expenses)</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auto" w:val="clear"/>
            <w:vAlign w:val="center"/>
          </w:tcPr>
          <w:p>
            <w:pPr>
              <w:pStyle w:val="TableContents"/>
              <w:spacing w:before="0" w:after="0"/>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(13,788)</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(48,442)</w:t>
            </w:r>
          </w:p>
        </w:tc>
        <w:tc>
          <w:tcPr>
            <w:tcW w:w="326"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24,655</w:t>
            </w:r>
          </w:p>
        </w:tc>
        <w:tc>
          <w:tcPr>
            <w:tcW w:w="326"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Amortization of intangible assets</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26"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68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 Impairment of goodwill and intangible assets acquired from business combination</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shd w:fill="auto" w:val="clear"/>
            <w:vAlign w:val="center"/>
          </w:tcPr>
          <w:p>
            <w:pPr>
              <w:pStyle w:val="TableContents"/>
              <w:spacing w:before="0" w:after="0"/>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13"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Adjusted EBITA (non-GAAP)</w:t>
            </w:r>
          </w:p>
        </w:tc>
        <w:tc>
          <w:tcPr>
            <w:tcW w:w="326" w:type="dxa"/>
            <w:tcBorders/>
            <w:shd w:fill="CCEEFF" w:val="clear"/>
            <w:vAlign w:val="center"/>
          </w:tcPr>
          <w:p>
            <w:pPr>
              <w:pStyle w:val="TableContents"/>
              <w:spacing w:before="0" w:after="0"/>
              <w:ind w:left="0" w:right="0" w:hanging="0"/>
              <w:rPr/>
            </w:pPr>
            <w:r>
              <w:rPr/>
              <w:t> </w:t>
            </w:r>
          </w:p>
        </w:tc>
        <w:tc>
          <w:tcPr>
            <w:tcW w:w="78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(8,381)</w:t>
            </w:r>
          </w:p>
        </w:tc>
        <w:tc>
          <w:tcPr>
            <w:tcW w:w="326" w:type="dxa"/>
            <w:tcBorders/>
            <w:shd w:fill="CCEEFF" w:val="clear"/>
            <w:vAlign w:val="center"/>
          </w:tcPr>
          <w:p>
            <w:pPr>
              <w:pStyle w:val="TableContents"/>
              <w:spacing w:before="0" w:after="0"/>
              <w:ind w:left="0" w:right="0" w:hanging="0"/>
              <w:rPr/>
            </w:pPr>
            <w:r>
              <w:rPr/>
              <w:t> </w:t>
            </w:r>
          </w:p>
        </w:tc>
        <w:tc>
          <w:tcPr>
            <w:tcW w:w="78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(19,173)</w:t>
            </w:r>
          </w:p>
        </w:tc>
        <w:tc>
          <w:tcPr>
            <w:tcW w:w="326" w:type="dxa"/>
            <w:tcBorders/>
            <w:shd w:fill="CCEEFF" w:val="clear"/>
            <w:vAlign w:val="center"/>
          </w:tcPr>
          <w:p>
            <w:pPr>
              <w:pStyle w:val="TableContents"/>
              <w:spacing w:before="0" w:after="0"/>
              <w:ind w:left="0" w:right="0" w:hanging="0"/>
              <w:rPr/>
            </w:pPr>
            <w:r>
              <w:rPr/>
              <w:t> </w:t>
            </w:r>
          </w:p>
        </w:tc>
        <w:tc>
          <w:tcPr>
            <w:tcW w:w="8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(12,769)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COVID-19 IMPACT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quickly adapted our business and operations, working closely with the government and implementing various measures to combat the COVID-19 pandemic. In spite of reduced demand as a result of the COVID-19 pandemic, our China Mobility segment remained profitable on a segment Adjusted EBITA basis in 2020. Our China Mobility segment was adversely affected by upticks in cases that have prompted selective restrictions in the affected regions at various times in 2021. China mobility GTV and transactions both declined in 2022, as our China Mobility segment was affected by the resurgence of the COVID-19 pandemic, especially in the second and fourth quarter of 2022. In December 2022, most of the travel restrictions and quarantine requirements were lifted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the Chinese government’s effort to ease the burden of businesses affected by the COVID-19 pandemic the Ministry of Human Resources and Social Security, the Ministry of Finance and the State Administration of Taxation temporarily reduced or exempted contributions to the government mandated employee welfare benefit plans from February 2020 to December 2020. In addition, the Ministry of Finance and the State Administration of Taxation temporarily exempted VAT on revenues derived from the provision of public transportation services in the PRC from January 2020 to March 2021 and from January 2022 to December 2022. This had a positive impact on our financial performance during those periods.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International segment was also adversely affected by the COVID-19 pandemic. Specifically, the COVID-19 pandemic significantly impacted markets outside of China in the second quarter of 2020. Starting from the third quarter of 2020, our International segment began to recover, mainly as a result of recovery of business activity in existing markets, our expansion into additional new markets, and the accelerated growth of our food delivery services in 2021. However, the growth in our International GTV in 2021 was tempered by the depreciation in the Brazilian Real against the RMB. In 2022, the impact on our International segment from the COVID-19 pandemic was not significant.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extent to which the pandemic impacts our results of operations going forward will depend on future developments which are highly uncertain and unpredictable and beyond our control, including the severity of the disease, the duration of the outbreak, additional actions that may be taken by governmental authorities, the further impact on the business of drivers, riders, and business partners. We will continue to evaluate the nature and extent of the impact of the COVID-19 pandemic to our future business, results of operations, financial condition and liquidity.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results of operations are primarily affected by the following company-specific factors: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Ability to grow Core Platform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number of Core Platform Transactions is a key factor affecting our revenues. This is in turn affected by our ability to attract, retain and engage consumers, including our ability to increase consumers’ wallet share in mobility spending on our platform. For China Mobility, we intend to increase our penetration across China and increase consumers’ frequency of use of our platform. For our International segment, we are still at an early stage of our business; we expect expansion opportunities in existing markets and also plan to enter new markets strategically. In addition, to increase the efficiency of our shared mobility network and ensure quality service to consumers, we would need to attract, retain and engage drivers on our platform by offering more compelling value proposition to drivers.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Ability to expand and improve our mobility service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continue to broaden and upgrade the mobility service offerings on our platform to better serve consumers, which in turn will increase our ability to generate revenues. We provide mobility services that cater to a full spectrum of use cases from leisure and family travel to business travel and commutes. These mobility services cater to different user demographics and budgets. For instance, we launched Piggy Express in 2020, targeting younger consumers with an affordable service in a standalone app and under a separate brand.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Ability to launch and grow new initiatives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ability to continually innovate has underpinned our success at creating differentiated service offerings and has enabled our growth to date. We have been expanding our services in what we consider to be the key pieces of mobility, namely energy and vehicle services, electric mobility and autonomous driving. In addition, we are expanding horizontally into other consumer services which we believe have massive addressable markets that are currently underpenetrated and where we have a fundamental edge in terms of knowhow and operational expertise. We expect that new initiatives will increase our revenues but may continue to be unprofitable for the near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Ability to manage costs and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incurred significant costs and expenses each year to support our growth. Our cost of revenues consists primarily of driver earnings and driver incentives for our China ride hailing business. From time to time, we may need to introduce or increase driver earnings and incentives to attract more drivers, and we may not be able to reduce the driver earnings and incentives that we offer without adversely affecting our liquidity network. We expect to achieve significant operating leverage for our other costs and expenses as we grow our scale and achieve platform synergies. Our ability to manage costs and expenses while maintaining growth will affect how quickly we can begin to generate positive net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Investments in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Technology is the backbone of our platform, and we have made significant investments in technology since our founding, focusing in areas where we expect to enjoy the highest return. Historically, for ride hailing, we have developed a technology and data stack from the ground up to provide a suite of shared mobility technologies that support a ride from start to finish. We expect to continue to invest significant expenses on research and development in areas such as electric vehicles and autonomous driving capabilities. In addition, our R&amp;D team is critical to the success of our business and we will continue to invest in talent acquisition and retention.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Investments and partnerships for strategic growth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attracted third-party financings for several businesses in our Other Initiatives segment including bike and e-bike sharing, intra-city freight and autonomous driving, as well as community group buying. To what extent we choose to access third-party financing to raise capital to grow these and similar businesses, and to what extent such financing is available and on what terms, will affect how rapidly these businesses grow and whether our ownership interest in them is diluted. We also enter into strategic partnerships where necessary for specific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each of our service offerings, we recognize revenues differently depending on who the customer is and whether we are the 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Specifically, we recognize revenues for our ride hailing service in China on a gross basis as we consider ourselves as the ride service provider in accordance with the service agreements and the regulations in China. For additional discussions related to revenues, see Note 3.24 to our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revenues, which are directly related to revenue generating transactions on our platform, primarily consist of driver earnings and incentives in ride hailing services of our China Mobility segment, depreciation and impairment of bikes and e-bikes, vehicles, insurance cost related to our service offerings, payment processing charges, and bandwidth and server related costs.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Operations and Support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Operations and support expenses consist primarily of personnel-related compensation expenses, including share-based compensation for our operations and support personnel, third party customer service fees, driver operation fees, other outsourcing fees and expenses related to general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Sales and 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Sales and marketing expenses consist primarily of advertising and promotion expenses, certain incentives paid to consumers not considered as customers from an accounting perspective, amortization of acquired intangible assets utilized by sales and marketing functions, and personnel-related compensation expenses, including share-based compensation for our sales and marketing staff.</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Research and development expenses consist primarily of personnel-related compensation expenses, including share-based compensation for employees in engineering, design and product development, depreciation of property and equipment utilized by research and development functions, and bandwidth and server related costs incurred by research and development functions. We expense all research and development expenses as incurred.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General and administrative expenses consist primarily of personnel-related compensation expenses, including share-based compensation for our managerial and administrative staff, allowances for doubtful accounts, office rental and property management fees, professional services fees, depreciation and amortization related to assets used for managerial functions, fines and miscellaneous administrative expenses.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incorporated in the Cayman Islands. The Cayman Islands currently levies no taxes on individuals or corporations based upon profits, income, gains or appreciation and there is no taxation in the nature of inheritance tax or estate duty. The Cayman Islands does not impose a withholding tax on payments of dividends to shareholders.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Hong Kong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subsidiaries incorporated in Hong Kong are subject to Hong Kong profit tax at a rate of 16.5%. Under Hong Kong tax law, our subsidiaries in Hong Kong are exempted from income tax on their foreign-derived income and there is no withholding tax in Hong Kong on remittance of dividends.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Generally, our subsidiaries and VIEs incorporated in China are subject to enterprise income tax on their worldwide taxable income as determined under PRC tax laws and accounting standards at a rate of 25%. Certified High and New Technology Enterprises are entitled to a preferential tax rate of 15%. The certificate is effective for a period of three years. One of our subsidiaries currently enjoys the reduced rate of 15%, which will expire in 2025.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currently subject to VAT at rates between 3% and 13% on the services we provide, less any deductible VAT we have already paid or borne. We are also subject to surcharges on VAT payments in accordance with PRC law. In addition, as part of the Chinese government’s effort to ease the burden of business affected by the COVID-19 pandemic the Ministry of Finance and the State Administration of Taxation temporarily exempted VAT on revenues derived from the provision of public transportation services in the PRC from January 2020 to March 2021 and from January 2022 to December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Dividends paid by our wholly foreign-owned subsidiary in China to our intermediary holding company in Hong Kong will be subject to a withholding tax rate of 10%, unless the relevant Hong Kong entity satisfies all the requirements under the Arrangement between the Mainland of China and the Hong Kong Special Administrative Region for the Avoidance of Double Taxation and the Prevention of Fiscal Evasion with respect to Taxes on Income and receives approval from the relevant tax authority. If our Hong Kong subsidiary satisfies all the requirements under the tax arrangement and receives approval from the relevant tax authority, the dividends paid to the Hong Kong subsidiary would be subject to withholding tax at the standard rate of 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5441"/>
        <w:gridCol w:w="326"/>
        <w:gridCol w:w="879"/>
        <w:gridCol w:w="326"/>
        <w:gridCol w:w="879"/>
        <w:gridCol w:w="326"/>
        <w:gridCol w:w="879"/>
        <w:gridCol w:w="326"/>
        <w:gridCol w:w="823"/>
      </w:tblGrid>
      <w:tr>
        <w:trPr/>
        <w:tc>
          <w:tcPr>
            <w:tcW w:w="5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455035" cy="175260"/>
                      <wp:effectExtent l="0" t="0" r="0" b="0"/>
                      <wp:wrapNone/>
                      <wp:docPr id="162" name="Frame155"/>
                      <a:graphic xmlns:a="http://schemas.openxmlformats.org/drawingml/2006/main">
                        <a:graphicData uri="http://schemas.microsoft.com/office/word/2010/wordprocessingShape">
                          <wps:wsp>
                            <wps:cNvSpPr txBox="1"/>
                            <wps:spPr>
                              <a:xfrm>
                                <a:off x="0" y="0"/>
                                <a:ext cx="345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58165" cy="175260"/>
                      <wp:effectExtent l="0" t="0" r="0" b="0"/>
                      <wp:wrapNone/>
                      <wp:docPr id="164" name="Frame157"/>
                      <a:graphic xmlns:a="http://schemas.openxmlformats.org/drawingml/2006/main">
                        <a:graphicData uri="http://schemas.microsoft.com/office/word/2010/wordprocessingShape">
                          <wps:wsp>
                            <wps:cNvSpPr txBox="1"/>
                            <wps:spPr>
                              <a:xfrm>
                                <a:off x="0" y="0"/>
                                <a:ext cx="558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5"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58165" cy="175260"/>
                      <wp:effectExtent l="0" t="0" r="0" b="0"/>
                      <wp:wrapNone/>
                      <wp:docPr id="166" name="Frame159"/>
                      <a:graphic xmlns:a="http://schemas.openxmlformats.org/drawingml/2006/main">
                        <a:graphicData uri="http://schemas.microsoft.com/office/word/2010/wordprocessingShape">
                          <wps:wsp>
                            <wps:cNvSpPr txBox="1"/>
                            <wps:spPr>
                              <a:xfrm>
                                <a:off x="0" y="0"/>
                                <a:ext cx="558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7"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58165" cy="175260"/>
                      <wp:effectExtent l="0" t="0" r="0" b="0"/>
                      <wp:wrapNone/>
                      <wp:docPr id="168" name="Frame161"/>
                      <a:graphic xmlns:a="http://schemas.openxmlformats.org/drawingml/2006/main">
                        <a:graphicData uri="http://schemas.microsoft.com/office/word/2010/wordprocessingShape">
                          <wps:wsp>
                            <wps:cNvSpPr txBox="1"/>
                            <wps:spPr>
                              <a:xfrm>
                                <a:off x="0" y="0"/>
                                <a:ext cx="558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22605" cy="175260"/>
                      <wp:effectExtent l="0" t="0" r="0" b="0"/>
                      <wp:wrapNone/>
                      <wp:docPr id="170" name="Frame163"/>
                      <a:graphic xmlns:a="http://schemas.openxmlformats.org/drawingml/2006/main">
                        <a:graphicData uri="http://schemas.microsoft.com/office/word/2010/wordprocessingShape">
                          <wps:wsp>
                            <wps:cNvSpPr txBox="1"/>
                            <wps:spPr>
                              <a:xfrm>
                                <a:off x="0" y="0"/>
                                <a:ext cx="522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38"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5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3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0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 in</w:t>
            </w:r>
          </w:p>
        </w:tc>
      </w:tr>
      <w:tr>
        <w:trPr/>
        <w:tc>
          <w:tcPr>
            <w:tcW w:w="5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pPr>
            <w:r>
              <w:rPr/>
              <w:t>  </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133,645</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160,521</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18,258</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9,684</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141,736</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173,827</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140,792</w:t>
            </w:r>
          </w:p>
        </w:tc>
        <w:tc>
          <w:tcPr>
            <w:tcW w:w="326" w:type="dxa"/>
            <w:tcBorders/>
            <w:shd w:fill="CCEEFF" w:val="clear"/>
            <w:vAlign w:val="center"/>
          </w:tcPr>
          <w:p>
            <w:pPr>
              <w:pStyle w:val="TableContents"/>
              <w:spacing w:before="0" w:after="0"/>
              <w:ind w:left="0" w:right="0" w:hanging="0"/>
              <w:rPr/>
            </w:pPr>
            <w:r>
              <w:rPr/>
              <w:t> </w:t>
            </w:r>
          </w:p>
        </w:tc>
        <w:tc>
          <w:tcPr>
            <w:tcW w:w="8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20,413</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Costs and expenses:</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pPr>
            <w:r>
              <w:rPr/>
              <w:t>​</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(125,824)</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(156,863)</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(115,800)</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(16,789)</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(4,696)</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(7,525)</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(6,520)</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(11,136)</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(16,961)</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(9,756)</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(9,415)</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(9,536)</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(7,551)</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(28,716)</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(17,004)</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Impairment of goodwill and intangible assets acquired from business combination</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(155,524)</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(222,269)</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(158,616)</w:t>
            </w:r>
          </w:p>
        </w:tc>
        <w:tc>
          <w:tcPr>
            <w:tcW w:w="326" w:type="dxa"/>
            <w:tcBorders/>
            <w:shd w:fill="CCEEFF" w:val="clear"/>
            <w:vAlign w:val="center"/>
          </w:tcPr>
          <w:p>
            <w:pPr>
              <w:pStyle w:val="TableContents"/>
              <w:spacing w:before="0" w:after="0"/>
              <w:ind w:left="0" w:right="0" w:hanging="0"/>
              <w:rPr/>
            </w:pPr>
            <w:r>
              <w:rPr/>
              <w:t> </w:t>
            </w:r>
          </w:p>
        </w:tc>
        <w:tc>
          <w:tcPr>
            <w:tcW w:w="8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(22,997)</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(13,788)</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(48,442)</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(2,584)</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expenses</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Investment income (loss), net</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Impairment loss for equity investments accounted for using Measurement Alternative</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Income (loss) from equity method investments, net</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 income (loss), net</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(10,911)</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(49,168)</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(23,779)</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(3,448)</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benefits (expenses)</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(10,608)</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(49,334)</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(23,783)</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(3,448)</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Less: Net income (loss) attributable to non-controlling interest shareholders</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 attributable to DiDi Global Inc.</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(10,514)</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(49,343)</w:t>
            </w:r>
          </w:p>
        </w:tc>
        <w:tc>
          <w:tcPr>
            <w:tcW w:w="326" w:type="dxa"/>
            <w:tcBorders/>
            <w:shd w:fill="CCEEFF" w:val="clear"/>
            <w:vAlign w:val="center"/>
          </w:tcPr>
          <w:p>
            <w:pPr>
              <w:pStyle w:val="TableContents"/>
              <w:spacing w:before="0" w:after="0"/>
              <w:ind w:left="0" w:right="0" w:hanging="0"/>
              <w:rPr/>
            </w:pPr>
            <w:r>
              <w:rPr/>
              <w:t> </w:t>
            </w:r>
          </w:p>
        </w:tc>
        <w:tc>
          <w:tcPr>
            <w:tcW w:w="87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(23,784)</w:t>
            </w:r>
          </w:p>
        </w:tc>
        <w:tc>
          <w:tcPr>
            <w:tcW w:w="32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(3,448)</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shd w:fill="auto" w:val="clear"/>
            <w:vAlign w:val="center"/>
          </w:tcPr>
          <w:p>
            <w:pPr>
              <w:pStyle w:val="TableContents"/>
              <w:spacing w:before="0" w:after="0"/>
              <w:ind w:left="0" w:right="0" w:hanging="0"/>
              <w:rPr/>
            </w:pPr>
            <w:r>
              <w:rPr/>
              <w:t> </w:t>
            </w:r>
          </w:p>
        </w:tc>
        <w:tc>
          <w:tcPr>
            <w:tcW w:w="8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auto" w:val="clear"/>
            <w:vAlign w:val="center"/>
          </w:tcPr>
          <w:p>
            <w:pPr>
              <w:pStyle w:val="TableContents"/>
              <w:spacing w:before="0" w:after="0"/>
              <w:ind w:left="0" w:right="0" w:hanging="0"/>
              <w:rPr/>
            </w:pPr>
            <w:r>
              <w:rPr/>
              <w:t> </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5441"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Deemed dividends to preferred shareholders upon repurchases of convertible preferred shares</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441"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 attributable to ordinary shareholders of DiDi Global Inc.</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(10,680)</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(50,031)</w:t>
            </w:r>
          </w:p>
        </w:tc>
        <w:tc>
          <w:tcPr>
            <w:tcW w:w="326" w:type="dxa"/>
            <w:tcBorders/>
            <w:shd w:fill="auto" w:val="clear"/>
            <w:vAlign w:val="center"/>
          </w:tcPr>
          <w:p>
            <w:pPr>
              <w:pStyle w:val="TableContents"/>
              <w:spacing w:before="0" w:after="0"/>
              <w:ind w:left="0" w:right="0" w:hanging="0"/>
              <w:rPr/>
            </w:pPr>
            <w:r>
              <w:rPr/>
              <w:t> </w:t>
            </w:r>
          </w:p>
        </w:tc>
        <w:tc>
          <w:tcPr>
            <w:tcW w:w="8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(24,682)</w:t>
            </w:r>
          </w:p>
        </w:tc>
        <w:tc>
          <w:tcPr>
            <w:tcW w:w="326" w:type="dxa"/>
            <w:tcBorders/>
            <w:shd w:fill="auto" w:val="clear"/>
            <w:vAlign w:val="center"/>
          </w:tcPr>
          <w:p>
            <w:pPr>
              <w:pStyle w:val="TableContents"/>
              <w:spacing w:before="0" w:after="0"/>
              <w:ind w:left="0" w:right="0" w:hanging="0"/>
              <w:rPr/>
            </w:pPr>
            <w:r>
              <w:rPr/>
              <w:t> </w:t>
            </w:r>
          </w:p>
        </w:tc>
        <w:tc>
          <w:tcPr>
            <w:tcW w:w="8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(3,579)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PERIOD TO PERIOD COMPARISON OF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2022 compared to year ended December 31,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Revenues decreased by 19.0% from RMB173.8 billion in 2021 to RMB140.8 billion (US$20.4 billion) in 2022. This decrease was primarily due to the decrease of GTV in our China Mobility segment due to the effects of COVID-19 pandemic outbreaks in the second and fourth quarter of 2022. The total segment revenues of our China Mobility segment decreased by 21.5% from RMB160.5 billion in 2021 to RMB125.9 billion (US$18.3 billion) in 2022. GTV in our China Mobility segment decreased by 20.4% from RMB233.8 billion in 2021 to RMB186.2 billion (US$27.0 billion) in 2022. The total segment revenues of our International segment increased by 61.9% from RMB3.6 billion in 2021 to RMB5.9 billion (US$0.9 billion) in 2022. The increase in International segment revenue was primarily due to the growth of GTV and improved incentives efficiencies with our customers. GTV in our International segment increased by 32.2% from RMB37.7 billion in 2021 to RMB49.8 billion (US$7.2 billion) in 2022. Total segment revenues of our Other Initiatives segment decreased by 7.1% from RMB9.7 billion in 2021 to RMB9.0 billion (US$1.3 billion) in 2022, primarily due to an 8.0% decrease of our bike and e-bike sharing business revenues, as COVID-19 pandemic resurged in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revenues decreased by 26.2% from RMB156.9 billion in 2021 to RMB115.8 billion (US$16.8 billion) in 2022. This decrease was primarily due to a decrease of RMB34.8 billion in driver earnings and driver incentives for our ride hailing business in China, driven primarily by the decline in volume of China ride hailing transactions, and to a lesser extent by a decrease of RMB3.1 billion in cost of revenues from new initiatives that we launched in 2020, as well as a decrease of RMB3.0 billion in operating assets depreciation and impairment related to our bike and e-bike sharing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Operations and Support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operations and support expenses decreased by 13.4% from RMB7.5 billion in 2021 to RMB6.5 billion (US$0.9 billion) in 2022. This decrease was primarily due to a decrease of RMB0.8 billion in personnel-related compensation expenses, including share-based compensation, mainly due to the reduction in headcount in our new initiatives, and a decrease of RMB0.2 billion in other third-party operations support fees in line with the decrease of our bike and e-bike sharing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Sales and 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sales and marketing expenses decreased by 42.5% from RMB17.0 billion in 2021 to RMB9.8 billion (US$1.4 billion) in 2022. The decrease was due primarily to a RMB4.7 billion decrease in incentives provided to consumers which were mainly related to the Other Initiatives and International segments. The decrease was also attributable to a RMB2.1 billion decrease in advertising and promotion expenses as we reduced our marketing spending for the Other Initiatives segment and our ride hailing business in China.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research and development expenses increased by 1.3% from RMB9.4 billion in 2021 to RMB9.5 billion (US$1.4 billion) in 2022, due primarily to continually investing in technology.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general and administrative expenses decreased by 40.8% from RMB28.7 billion in 2021 to RMB17.0 billion (US$2.5 billion) in 2022, due primarily to RMB20.5 billion share-based compensation expenses recognized in the second quarter of 2021, partially offset by an administrative fine of RMB8.026 billion (US$1.2 billion) imposed for the violation of the Cybersecurity Law, Data Security Law and Personal Information Protection Law in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Impairment of Goodwill and Intangible Assets Acquired from Business Combination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impairment of goodwill and intangible assets acquired from business combination decreased from RMB2.8 billion in 2021 to nil in 2022. The impairment in 2021 was primarily relating to the goodwill and intangible assets arising from the acquisition of 99 Taxis within our International segment, and the impairment was mainly caused by the longer-term trajectory of the COVID-19 pandemic and the complex and volatile market environment. There was no impairment in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income (loss),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investment income (loss), net, increased from a loss of RMB167 million in 2021 to a loss of RMB5.8 billion (US$0.8 billion) in 2022, due primarily to fair value loss amounting to RMB7.0 billion (US$1.0 billion) mainly from our investments in Grab, offset by RMB1.2 billion (US$0.2 billion) recognized in connection with Chengxin’s distribution of our share of its assets in 2022.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2021 compared to year ended December 31, 2020</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Revenues increased by 22.6% from RMB141.7 billion in 2020 to RMB173.8 billion in 2021. This increase was primarily due to the resumption of normal operating activities for our China Mobility segment. The total segment revenues of our China Mobility segment increased by 20.1% from RMB133.6 billion in 2020 to RMB160.5 billion in 2021. The number of transactions in our China Mobility segment increased by 22.8% from 7.8 billion in 2020 to 9.5 billion in 2021. The increases in revenue and the number of transactions were primarily due to the resumption of normal operating activities in China, as COVID-19-related restrictions on mobility were reduced or lifted. The total segment revenues of our International segment increased by 55.3% from RMB2.3 billion in 2020 to RMB3.6 billion in 2021, primarily due to the continued growth of food delivery services as an alternative to in-restaurant dining during the pandemic in the overseas countries where we operate, and the growth of ride hailing services revenues as the business partially recovered from the impact of the COVID-19 pandemic. The number of transactions in our International segment increased from 1.3 billion in 2020 to 1.8 billion in 2021. Total segment revenues of our Other Initiatives segment increased by 68.2% from RMB5.8 billion in 2020 to RMB9.7 billion in 2021, primarily due to the growth of our bike and e-bike sharing, financial services, and intra-city freight businesses as well as the growth of revenues from certain energy and vehicle services.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revenues increased by 24.7% from RM125.8 billion in 2020 to RMB156.9 billion in 2021. This increase was primarily due to an increase of RMB24.2 billion in driver earnings and driver incentives for our ride hailing business in China, driven primarily by the resumption of normal operations, and to a lesser extent by an increase in operating assets depreciation and impairment related to our bike and e-bike sharing business, as well as an increase in cost of revenues from new initiatives that we launched in 2020. In the third quarter of 2021, asset impairment charges of RMB2.2 billion were recorded in cost of revenues, due to adverse changes in the operating and financial performance of our bike and e-bike sharing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Operations and Support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operations and support expenses increased by 60.2% from RMB4.7 billion in 2020 to RMB7.5 billion in 2021. This increase was primarily due to an increase of RMB1.3 billion in personnel-related compensation expenses mainly driven by the growth in headcount in our new initiatives including freight business and community group business during the first quarter of 2021 before its deconsolidation from us, an increase of RMB0.6 billion in third-party customer service and driver operation fees driven by the growth of our platform transactions in 2021, and an increase of RMB0.5 billion in other third-party operations support fees driven by the growth of our bike and e-bike sharing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Sales and 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sales and marketing expenses increased by 52.3% from RMB11.1 billion in 2020 to RMB17.0 billion in 2021. The increase was due primarily to a RMB5.4 billion increase in incentives provided to consumers which were mainly related to new initiatives we launched in 2020, our charging and refueling business, and our international business. The increase was also attributable to a RMB0.3 billion increase in advertising and promotion expenses as we expanded our marketing efforts for new initiatives and international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research and development expenses increased by 49.0% from RMB6.3 billion in 2020 to RMB9.4 billion in 2021, due primarily to an increase of RMB3.1 billion in personnel-related compensation expenses, including share-based compensation, due primarily to increased research and development personnel headcount reflecting our continued commitment to investing in technology.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general and administrative expenses increased by 280% from RMB7.6 billion in 2020 to RMB28.7 billion in 2021, due primarily to RMB19.6 billion in share-based compensation expenses recognized in the second quarter of 2021 related to share options that were granted to certain directors and executive officers to maintain their voting rights and accelerated and vested fully, as well as RMB0.2 billion in share-based compensation expenses for awards with both service conditions and performance conditions associated with initial public offering or deemed liquidation events.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Impairment of Goodwill and Intangible Assets Acquired from Business Combination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impairment of goodwill and intangible assets acquired from business combination increased from nil in 2020 to RMB2.8 billion in 2021, primarily due to the impairment of goodwill and intangible assets arising from the acquisition of 99 Taxis within our International segment. The impairment was mainly caused by the longer-term trajectory of the COVID-19 pandemic and complex and volatile market environment in Brazil.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income (loss),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investment income (loss), net, went from a gain of RMB2.8 billion in 2020 to a loss of RMB167 million in 2021, due primarily to fair value loss amounted to RMB21.3 billion of our investment in Chengxin, a company engaged in the community group buying business, to a large extent offset by an unrealized gain of RMB9.1 billion due to the deconsolidation of Chengxin, an unrealized gain of RMB8.4 billion arising from changes in fair value of our investments in Grab which became listed on Nasdaq in 2021, and a gain of RMB3.3 billion from an equity investment disposal in the first quarter of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SEGMENTS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operate our business in three segments: China Mobility, International and Other Initiatives. We use adjusted EBITA as our segment performance measure.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total revenues by segment for the periods presented:</w:t>
      </w:r>
    </w:p>
    <w:p>
      <w:pPr>
        <w:pStyle w:val="TextBody"/>
        <w:spacing w:before="0" w:after="0"/>
        <w:ind w:left="0" w:right="0" w:firstLine="720"/>
        <w:rPr/>
      </w:pPr>
      <w:r>
        <w:rPr/>
        <w:t>​</w:t>
      </w:r>
    </w:p>
    <w:tbl>
      <w:tblPr>
        <w:tblW w:w="5869" w:type="dxa"/>
        <w:jc w:val="left"/>
        <w:tblInd w:w="0" w:type="dxa"/>
        <w:tblCellMar>
          <w:top w:w="0" w:type="dxa"/>
          <w:left w:w="0" w:type="dxa"/>
          <w:bottom w:w="0" w:type="dxa"/>
          <w:right w:w="0" w:type="dxa"/>
        </w:tblCellMar>
      </w:tblPr>
      <w:tblGrid>
        <w:gridCol w:w="1441"/>
        <w:gridCol w:w="326"/>
        <w:gridCol w:w="781"/>
        <w:gridCol w:w="326"/>
        <w:gridCol w:w="781"/>
        <w:gridCol w:w="326"/>
        <w:gridCol w:w="781"/>
        <w:gridCol w:w="326"/>
        <w:gridCol w:w="781"/>
      </w:tblGrid>
      <w:tr>
        <w:trPr/>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15035" cy="175260"/>
                      <wp:effectExtent l="0" t="0" r="0" b="0"/>
                      <wp:wrapNone/>
                      <wp:docPr id="171" name="Frame164"/>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2"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3" name="Frame16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4"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5" name="Frame16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6"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7" name="Frame1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8"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79" name="Frame1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 in</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133,645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160,521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18,258</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9,684</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141,736</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173,827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140,792</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20,413</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“—Period to Period Comparison of Results of Operations” for a discussion of changes in total revenues by segment, under the two sections entitled “—Revenues.”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total Adjusted EBITA by segment and consolidated loss from operations for the periods presented:</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5789"/>
        <w:gridCol w:w="326"/>
        <w:gridCol w:w="785"/>
        <w:gridCol w:w="326"/>
        <w:gridCol w:w="785"/>
        <w:gridCol w:w="326"/>
        <w:gridCol w:w="785"/>
        <w:gridCol w:w="326"/>
        <w:gridCol w:w="757"/>
      </w:tblGrid>
      <w:tr>
        <w:trPr/>
        <w:tc>
          <w:tcPr>
            <w:tcW w:w="5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76015" cy="175260"/>
                      <wp:effectExtent l="0" t="0" r="0" b="0"/>
                      <wp:wrapNone/>
                      <wp:docPr id="180" name="Frame173"/>
                      <a:graphic xmlns:a="http://schemas.openxmlformats.org/drawingml/2006/main">
                        <a:graphicData uri="http://schemas.microsoft.com/office/word/2010/wordprocessingShape">
                          <wps:wsp>
                            <wps:cNvSpPr txBox="1"/>
                            <wps:spPr>
                              <a:xfrm>
                                <a:off x="0" y="0"/>
                                <a:ext cx="3676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1"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8475" cy="175260"/>
                      <wp:effectExtent l="0" t="0" r="0" b="0"/>
                      <wp:wrapNone/>
                      <wp:docPr id="182" name="Frame175"/>
                      <a:graphic xmlns:a="http://schemas.openxmlformats.org/drawingml/2006/main">
                        <a:graphicData uri="http://schemas.microsoft.com/office/word/2010/wordprocessingShape">
                          <wps:wsp>
                            <wps:cNvSpPr txBox="1"/>
                            <wps:spPr>
                              <a:xfrm>
                                <a:off x="0" y="0"/>
                                <a:ext cx="498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3"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8475" cy="175260"/>
                      <wp:effectExtent l="0" t="0" r="0" b="0"/>
                      <wp:wrapNone/>
                      <wp:docPr id="184" name="Frame177"/>
                      <a:graphic xmlns:a="http://schemas.openxmlformats.org/drawingml/2006/main">
                        <a:graphicData uri="http://schemas.microsoft.com/office/word/2010/wordprocessingShape">
                          <wps:wsp>
                            <wps:cNvSpPr txBox="1"/>
                            <wps:spPr>
                              <a:xfrm>
                                <a:off x="0" y="0"/>
                                <a:ext cx="498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98475" cy="175260"/>
                      <wp:effectExtent l="0" t="0" r="0" b="0"/>
                      <wp:wrapNone/>
                      <wp:docPr id="186" name="Frame179"/>
                      <a:graphic xmlns:a="http://schemas.openxmlformats.org/drawingml/2006/main">
                        <a:graphicData uri="http://schemas.microsoft.com/office/word/2010/wordprocessingShape">
                          <wps:wsp>
                            <wps:cNvSpPr txBox="1"/>
                            <wps:spPr>
                              <a:xfrm>
                                <a:off x="0" y="0"/>
                                <a:ext cx="498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7"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80695" cy="175260"/>
                      <wp:effectExtent l="0" t="0" r="0" b="0"/>
                      <wp:wrapNone/>
                      <wp:docPr id="188" name="Frame181"/>
                      <a:graphic xmlns:a="http://schemas.openxmlformats.org/drawingml/2006/main">
                        <a:graphicData uri="http://schemas.microsoft.com/office/word/2010/wordprocessingShape">
                          <wps:wsp>
                            <wps:cNvSpPr txBox="1"/>
                            <wps:spPr>
                              <a:xfrm>
                                <a:off x="0" y="0"/>
                                <a:ext cx="480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90"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57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90"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7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7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5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 in</w:t>
            </w:r>
          </w:p>
        </w:tc>
      </w:tr>
      <w:tr>
        <w:trPr/>
        <w:tc>
          <w:tcPr>
            <w:tcW w:w="57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5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5789"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3,960</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shd w:fill="CCEEFF" w:val="clear"/>
            <w:vAlign w:val="center"/>
          </w:tcPr>
          <w:p>
            <w:pPr>
              <w:pStyle w:val="TableContents"/>
              <w:spacing w:before="0" w:after="0"/>
              <w:ind w:left="0" w:right="0" w:hanging="0"/>
              <w:rPr/>
            </w:pPr>
            <w:r>
              <w:rPr/>
              <w:t> </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578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(3,534)</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26" w:type="dxa"/>
            <w:tcBorders/>
            <w:shd w:fill="auto" w:val="clear"/>
            <w:vAlign w:val="center"/>
          </w:tcPr>
          <w:p>
            <w:pPr>
              <w:pStyle w:val="TableContents"/>
              <w:spacing w:before="0" w:after="0"/>
              <w:ind w:left="0" w:right="0" w:hanging="0"/>
              <w:rPr/>
            </w:pPr>
            <w:r>
              <w:rPr/>
              <w:t> </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5789"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(8,807)</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(19,514)</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(7,295)</w:t>
            </w:r>
          </w:p>
        </w:tc>
        <w:tc>
          <w:tcPr>
            <w:tcW w:w="326" w:type="dxa"/>
            <w:tcBorders/>
            <w:shd w:fill="CCEEFF" w:val="clear"/>
            <w:vAlign w:val="center"/>
          </w:tcPr>
          <w:p>
            <w:pPr>
              <w:pStyle w:val="TableContents"/>
              <w:spacing w:before="0" w:after="0"/>
              <w:ind w:left="0" w:right="0" w:hanging="0"/>
              <w:rPr/>
            </w:pPr>
            <w:r>
              <w:rPr/>
              <w:t> </w:t>
            </w:r>
          </w:p>
        </w:tc>
        <w:tc>
          <w:tcPr>
            <w:tcW w:w="7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5789"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Total Adjusted EBITA</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(8,381)</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(19,173)</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(12,769)</w:t>
            </w:r>
          </w:p>
        </w:tc>
        <w:tc>
          <w:tcPr>
            <w:tcW w:w="326" w:type="dxa"/>
            <w:tcBorders/>
            <w:shd w:fill="auto" w:val="clear"/>
            <w:vAlign w:val="center"/>
          </w:tcPr>
          <w:p>
            <w:pPr>
              <w:pStyle w:val="TableContents"/>
              <w:spacing w:before="0" w:after="0"/>
              <w:ind w:left="0" w:right="0" w:hanging="0"/>
              <w:rPr/>
            </w:pPr>
            <w:r>
              <w:rPr/>
              <w:t> </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(1,851)</w:t>
            </w:r>
          </w:p>
        </w:tc>
      </w:tr>
      <w:tr>
        <w:trPr/>
        <w:tc>
          <w:tcPr>
            <w:tcW w:w="5789"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(24,655)</w:t>
            </w:r>
          </w:p>
        </w:tc>
        <w:tc>
          <w:tcPr>
            <w:tcW w:w="326"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shd w:fill="CCEEFF" w:val="clear"/>
            <w:vAlign w:val="center"/>
          </w:tcPr>
          <w:p>
            <w:pPr>
              <w:pStyle w:val="TableContents"/>
              <w:spacing w:before="0" w:after="0"/>
              <w:ind w:left="0" w:right="0" w:hanging="0"/>
              <w:rPr/>
            </w:pPr>
            <w:r>
              <w:rPr/>
              <w:t> </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r>
      <w:tr>
        <w:trPr/>
        <w:tc>
          <w:tcPr>
            <w:tcW w:w="578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26" w:type="dxa"/>
            <w:tcBorders/>
            <w:shd w:fill="auto" w:val="clear"/>
            <w:vAlign w:val="center"/>
          </w:tcPr>
          <w:p>
            <w:pPr>
              <w:pStyle w:val="TableContents"/>
              <w:spacing w:before="0" w:after="0"/>
              <w:ind w:left="0" w:right="0" w:hanging="0"/>
              <w:rPr/>
            </w:pPr>
            <w:r>
              <w:rPr/>
              <w:t> </w:t>
            </w:r>
          </w:p>
        </w:tc>
        <w:tc>
          <w:tcPr>
            <w:tcW w:w="7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326" w:type="dxa"/>
            <w:tcBorders/>
            <w:shd w:fill="auto" w:val="clear"/>
            <w:vAlign w:val="center"/>
          </w:tcPr>
          <w:p>
            <w:pPr>
              <w:pStyle w:val="TableContents"/>
              <w:spacing w:before="0" w:after="0"/>
              <w:ind w:left="0" w:right="0" w:hanging="0"/>
              <w:rPr/>
            </w:pPr>
            <w:r>
              <w:rPr/>
              <w:t> </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5789"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Impairment of goodwill and intangible assets acquired from business combination</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5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789"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consolidated loss from operations</w:t>
            </w:r>
          </w:p>
        </w:tc>
        <w:tc>
          <w:tcPr>
            <w:tcW w:w="326" w:type="dxa"/>
            <w:tcBorders/>
            <w:shd w:fill="auto" w:val="clear"/>
            <w:vAlign w:val="center"/>
          </w:tcPr>
          <w:p>
            <w:pPr>
              <w:pStyle w:val="TableContents"/>
              <w:spacing w:before="0" w:after="0"/>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(13,788)</w:t>
            </w:r>
          </w:p>
        </w:tc>
        <w:tc>
          <w:tcPr>
            <w:tcW w:w="326" w:type="dxa"/>
            <w:tcBorders/>
            <w:shd w:fill="auto" w:val="clear"/>
            <w:vAlign w:val="center"/>
          </w:tcPr>
          <w:p>
            <w:pPr>
              <w:pStyle w:val="TableContents"/>
              <w:spacing w:before="0" w:after="0"/>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(48,442)</w:t>
            </w:r>
          </w:p>
        </w:tc>
        <w:tc>
          <w:tcPr>
            <w:tcW w:w="326" w:type="dxa"/>
            <w:tcBorders/>
            <w:shd w:fill="auto" w:val="clear"/>
            <w:vAlign w:val="center"/>
          </w:tcPr>
          <w:p>
            <w:pPr>
              <w:pStyle w:val="TableContents"/>
              <w:spacing w:before="0" w:after="0"/>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(17,824)</w:t>
            </w:r>
          </w:p>
        </w:tc>
        <w:tc>
          <w:tcPr>
            <w:tcW w:w="326" w:type="dxa"/>
            <w:tcBorders/>
            <w:shd w:fill="auto" w:val="clear"/>
            <w:vAlign w:val="center"/>
          </w:tcPr>
          <w:p>
            <w:pPr>
              <w:pStyle w:val="TableContents"/>
              <w:spacing w:before="0" w:after="0"/>
              <w:ind w:left="0" w:right="0" w:hanging="0"/>
              <w:rPr/>
            </w:pPr>
            <w:r>
              <w:rPr/>
              <w:t> </w:t>
            </w:r>
          </w:p>
        </w:tc>
        <w:tc>
          <w:tcPr>
            <w:tcW w:w="7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(2,584)</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by segment for the periods presented:</w:t>
      </w:r>
    </w:p>
    <w:p>
      <w:pPr>
        <w:pStyle w:val="TextBody"/>
        <w:spacing w:before="0" w:after="0"/>
        <w:ind w:left="0" w:right="0" w:firstLine="720"/>
        <w:rPr/>
      </w:pPr>
      <w:r>
        <w:rPr/>
        <w:t>​</w:t>
      </w:r>
    </w:p>
    <w:tbl>
      <w:tblPr>
        <w:tblW w:w="8224" w:type="dxa"/>
        <w:jc w:val="left"/>
        <w:tblInd w:w="0" w:type="dxa"/>
        <w:tblCellMar>
          <w:top w:w="0" w:type="dxa"/>
          <w:left w:w="0" w:type="dxa"/>
          <w:bottom w:w="0" w:type="dxa"/>
          <w:right w:w="0" w:type="dxa"/>
        </w:tblCellMar>
      </w:tblPr>
      <w:tblGrid>
        <w:gridCol w:w="3991"/>
        <w:gridCol w:w="326"/>
        <w:gridCol w:w="721"/>
        <w:gridCol w:w="326"/>
        <w:gridCol w:w="721"/>
        <w:gridCol w:w="326"/>
        <w:gridCol w:w="721"/>
        <w:gridCol w:w="326"/>
        <w:gridCol w:w="766"/>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534285" cy="175260"/>
                      <wp:effectExtent l="0" t="0" r="0" b="0"/>
                      <wp:wrapNone/>
                      <wp:docPr id="189" name="Frame182"/>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0"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57835" cy="175260"/>
                      <wp:effectExtent l="0" t="0" r="0" b="0"/>
                      <wp:wrapNone/>
                      <wp:docPr id="191" name="Frame18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2"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57835" cy="175260"/>
                      <wp:effectExtent l="0" t="0" r="0" b="0"/>
                      <wp:wrapNone/>
                      <wp:docPr id="193" name="Frame18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4"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57835" cy="175260"/>
                      <wp:effectExtent l="0" t="0" r="0" b="0"/>
                      <wp:wrapNone/>
                      <wp:docPr id="195" name="Frame18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6"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86410" cy="175260"/>
                      <wp:effectExtent l="0" t="0" r="0" b="0"/>
                      <wp:wrapNone/>
                      <wp:docPr id="197" name="Frame190"/>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0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0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 in</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39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9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International</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3,790</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399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Total depreciation of property and equipment</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3,275</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4,221</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3,512</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509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China Mobility Segment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Adjusted EBITA of our China Mobility segment increased by 54.8% from a gain of RMB4.0 billion in 2020 to a gain of RMB6.1 billion in 2021, and went from a gain of RMB6.1 billion in 2021 to a loss of RMB1.5 billion (US$0.2 billion) in 2022. The increase of China Mobility segment Adjusted EBITA in 2021 as compared to 2020 was primarily attributable to the increase in revenues in 2021 as our business rebounded from the adverse impact of the COVID-19 pandemic. The Adjusted EBITA loss in 2022 included an administrative fine of RMB8.026 billion (US$1.2 billion) imposed for the violation of the Cybersecurity Law, Data Security Law and Personal Information Protection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International Segment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Adjusted EBITA loss of our International segment increased by 63.8% from a loss of RMB3.5 billion in 2020 to a loss of RMB5.8 billion in 2021, and decreased by 30.5% from the loss of RMB5.8 billion in 2021 to a loss of RMB4.0 billion (US$0.6 billion) in 2022. The increase of International segment Adjusted EBITA loss in 2021 as compared to 2020 was primarily attributable to our increased investment in both mobility and food delivery businesses, particularly in driver recruitment and retention. The decrease of International segment Adjusted EBITA loss in 2022 as compared to 2021 was primarily attributable to the increase of operating efficiencies.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Initiatives Segment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Adjusted EBITA loss of our Other Initiatives segment increased by 122% from a loss of RMB8.8 billion in 2020 to a loss of RMB19.5 billion in 2021, and decreased by 62.6% from the loss of RMB19.5 billion in 2021 to a loss of RMB7.3 billion (US$1.1 billion) in 2022. The increase of Other Initiatives segment Adjusted EBITA loss in 2021 as compared to 2020 was primarily attributable to our investments in new initiatives such as intra-city freight and community group buying businesses (before the deconsolidation of our community group buying business in the first quarter of 2021) as well as an impairment charge on bikes and e-bikes in the third quarter of 2021. The decrease of Other Initiatives segment Adjusted EBITA loss in 2022 as compared to 2021 was primarily attributable to the reduction of losses from new initiatives resulting from the improved operating efficiencies, and no impairment was charged on bikes and e-bikes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SEASONALITY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experience seasonality in our China Mobility business, with lower levels of activity in the first quarter resulting from the Chinese New Year holiday. Consequently, we typically generate lower GTV and revenue in the first quarter. We also experience seasonal increases in our International GTV and revenue in the fourth quarter due to holidays, although the historical growth in our International business has outpaced the impact of seasonality thus far. We expect this seasonal trend to continue in the future.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detailed discussion of recent accounting pronouncements, see Note 3 to the consolidated financial statements included elsewhere in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a summary of our cash flows for the periods presented:</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5850"/>
        <w:gridCol w:w="326"/>
        <w:gridCol w:w="718"/>
        <w:gridCol w:w="326"/>
        <w:gridCol w:w="787"/>
        <w:gridCol w:w="326"/>
        <w:gridCol w:w="787"/>
        <w:gridCol w:w="326"/>
        <w:gridCol w:w="759"/>
      </w:tblGrid>
      <w:tr>
        <w:trPr/>
        <w:tc>
          <w:tcPr>
            <w:tcW w:w="58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714750" cy="175260"/>
                      <wp:effectExtent l="0" t="0" r="0" b="0"/>
                      <wp:wrapNone/>
                      <wp:docPr id="198" name="Frame191"/>
                      <a:graphic xmlns:a="http://schemas.openxmlformats.org/drawingml/2006/main">
                        <a:graphicData uri="http://schemas.microsoft.com/office/word/2010/wordprocessingShape">
                          <wps:wsp>
                            <wps:cNvSpPr txBox="1"/>
                            <wps:spPr>
                              <a:xfrm>
                                <a:off x="0" y="0"/>
                                <a:ext cx="3714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9"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5930" cy="175260"/>
                      <wp:effectExtent l="0" t="0" r="0" b="0"/>
                      <wp:wrapNone/>
                      <wp:docPr id="200" name="Frame193"/>
                      <a:graphic xmlns:a="http://schemas.openxmlformats.org/drawingml/2006/main">
                        <a:graphicData uri="http://schemas.microsoft.com/office/word/2010/wordprocessingShape">
                          <wps:wsp>
                            <wps:cNvSpPr txBox="1"/>
                            <wps:spPr>
                              <a:xfrm>
                                <a:off x="0" y="0"/>
                                <a:ext cx="455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1"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9745" cy="175260"/>
                      <wp:effectExtent l="0" t="0" r="0" b="0"/>
                      <wp:wrapNone/>
                      <wp:docPr id="202" name="Frame195"/>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3"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99745" cy="175260"/>
                      <wp:effectExtent l="0" t="0" r="0" b="0"/>
                      <wp:wrapNone/>
                      <wp:docPr id="204" name="Frame197"/>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5"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81965" cy="175260"/>
                      <wp:effectExtent l="0" t="0" r="0" b="0"/>
                      <wp:wrapNone/>
                      <wp:docPr id="206" name="Frame199"/>
                      <a:graphic xmlns:a="http://schemas.openxmlformats.org/drawingml/2006/main">
                        <a:graphicData uri="http://schemas.microsoft.com/office/word/2010/wordprocessingShape">
                          <wps:wsp>
                            <wps:cNvSpPr txBox="1"/>
                            <wps:spPr>
                              <a:xfrm>
                                <a:off x="0" y="0"/>
                                <a:ext cx="481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029"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58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29"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8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1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87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18"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jc w:val="center"/>
              <w:rPr/>
            </w:pPr>
            <w:r>
              <w:rPr/>
              <w:t>​</w:t>
            </w:r>
          </w:p>
        </w:tc>
        <w:tc>
          <w:tcPr>
            <w:tcW w:w="75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 in</w:t>
            </w:r>
          </w:p>
        </w:tc>
      </w:tr>
      <w:tr>
        <w:trPr/>
        <w:tc>
          <w:tcPr>
            <w:tcW w:w="58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18"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    </w:t>
            </w:r>
          </w:p>
        </w:tc>
        <w:tc>
          <w:tcPr>
            <w:tcW w:w="759"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5850"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Consolidated Cash Flows Data:</w:t>
            </w:r>
          </w:p>
        </w:tc>
        <w:tc>
          <w:tcPr>
            <w:tcW w:w="326" w:type="dxa"/>
            <w:tcBorders/>
            <w:shd w:fill="CCEEFF" w:val="clear"/>
            <w:vAlign w:val="center"/>
          </w:tcPr>
          <w:p>
            <w:pPr>
              <w:pStyle w:val="TableContents"/>
              <w:spacing w:before="0" w:after="0"/>
              <w:ind w:left="0" w:right="0" w:hanging="0"/>
              <w:rPr/>
            </w:pPr>
            <w:r>
              <w:rPr/>
              <w:t> </w:t>
            </w:r>
          </w:p>
        </w:tc>
        <w:tc>
          <w:tcPr>
            <w:tcW w:w="71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59" w:type="dxa"/>
            <w:tcBorders/>
            <w:shd w:fill="CCEEFF" w:val="clear"/>
            <w:vAlign w:val="center"/>
          </w:tcPr>
          <w:p>
            <w:pPr>
              <w:pStyle w:val="TableContents"/>
              <w:spacing w:before="0" w:after="0"/>
              <w:ind w:left="0" w:right="0" w:hanging="0"/>
              <w:jc w:val="right"/>
              <w:rPr/>
            </w:pPr>
            <w:r>
              <w:rPr/>
              <w:t>  </w:t>
            </w:r>
          </w:p>
        </w:tc>
      </w:tr>
      <w:tr>
        <w:trPr/>
        <w:tc>
          <w:tcPr>
            <w:tcW w:w="58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auto" w:val="clear"/>
            <w:vAlign w:val="center"/>
          </w:tcPr>
          <w:p>
            <w:pPr>
              <w:pStyle w:val="TableContents"/>
              <w:spacing w:before="0" w:after="0"/>
              <w:ind w:left="0" w:right="0" w:hanging="0"/>
              <w:rPr/>
            </w:pPr>
            <w:r>
              <w:rPr/>
              <w:t> </w:t>
            </w:r>
          </w:p>
        </w:tc>
        <w:tc>
          <w:tcPr>
            <w:tcW w:w="7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(13,414)</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shd w:fill="auto" w:val="clear"/>
            <w:vAlign w:val="center"/>
          </w:tcPr>
          <w:p>
            <w:pPr>
              <w:pStyle w:val="TableContents"/>
              <w:spacing w:before="0" w:after="0"/>
              <w:ind w:left="0" w:right="0" w:hanging="0"/>
              <w:rPr/>
            </w:pPr>
            <w:r>
              <w:rPr/>
              <w:t> </w:t>
            </w:r>
          </w:p>
        </w:tc>
        <w:tc>
          <w:tcPr>
            <w:tcW w:w="7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58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spacing w:before="0" w:after="0"/>
              <w:ind w:left="0" w:right="0" w:hanging="0"/>
              <w:rPr/>
            </w:pPr>
            <w:r>
              <w:rPr/>
              <w:t> </w:t>
            </w:r>
          </w:p>
        </w:tc>
        <w:tc>
          <w:tcPr>
            <w:tcW w:w="7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326"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(11,028)</w:t>
            </w:r>
          </w:p>
        </w:tc>
        <w:tc>
          <w:tcPr>
            <w:tcW w:w="326" w:type="dxa"/>
            <w:tcBorders/>
            <w:shd w:fill="CCEEFF" w:val="clear"/>
            <w:vAlign w:val="center"/>
          </w:tcPr>
          <w:p>
            <w:pPr>
              <w:pStyle w:val="TableContents"/>
              <w:spacing w:before="0" w:after="0"/>
              <w:ind w:left="0" w:right="0" w:hanging="0"/>
              <w:rPr/>
            </w:pPr>
            <w:r>
              <w:rPr/>
              <w:t> </w:t>
            </w:r>
          </w:p>
        </w:tc>
        <w:tc>
          <w:tcPr>
            <w:tcW w:w="7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r>
      <w:tr>
        <w:trPr/>
        <w:tc>
          <w:tcPr>
            <w:tcW w:w="58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auto" w:val="clear"/>
            <w:vAlign w:val="center"/>
          </w:tcPr>
          <w:p>
            <w:pPr>
              <w:pStyle w:val="TableContents"/>
              <w:spacing w:before="0" w:after="0"/>
              <w:ind w:left="0" w:right="0" w:hanging="0"/>
              <w:rPr/>
            </w:pPr>
            <w:r>
              <w:rPr/>
              <w:t> </w:t>
            </w:r>
          </w:p>
        </w:tc>
        <w:tc>
          <w:tcPr>
            <w:tcW w:w="7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35,191</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(3,545)</w:t>
            </w:r>
          </w:p>
        </w:tc>
        <w:tc>
          <w:tcPr>
            <w:tcW w:w="326" w:type="dxa"/>
            <w:tcBorders/>
            <w:shd w:fill="auto" w:val="clear"/>
            <w:vAlign w:val="center"/>
          </w:tcPr>
          <w:p>
            <w:pPr>
              <w:pStyle w:val="TableContents"/>
              <w:spacing w:before="0" w:after="0"/>
              <w:ind w:left="0" w:right="0" w:hanging="0"/>
              <w:rPr/>
            </w:pPr>
            <w:r>
              <w:rPr/>
              <w:t> </w:t>
            </w:r>
          </w:p>
        </w:tc>
        <w:tc>
          <w:tcPr>
            <w:tcW w:w="7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58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Effect of exchange rate changes on cash and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26" w:type="dxa"/>
            <w:tcBorders/>
            <w:shd w:fill="CCEEFF" w:val="cle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1,822</w:t>
            </w:r>
          </w:p>
        </w:tc>
        <w:tc>
          <w:tcPr>
            <w:tcW w:w="326" w:type="dxa"/>
            <w:tcBorders/>
            <w:shd w:fill="CCEEFF" w:val="clear"/>
            <w:vAlign w:val="center"/>
          </w:tcPr>
          <w:p>
            <w:pPr>
              <w:pStyle w:val="TableContents"/>
              <w:spacing w:before="0" w:after="0"/>
              <w:ind w:left="0" w:right="0" w:hanging="0"/>
              <w:rPr/>
            </w:pPr>
            <w:r>
              <w:rPr/>
              <w:t> </w:t>
            </w:r>
          </w:p>
        </w:tc>
        <w:tc>
          <w:tcPr>
            <w:tcW w:w="7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58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and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7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7,951</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22,350</w:t>
            </w:r>
          </w:p>
        </w:tc>
        <w:tc>
          <w:tcPr>
            <w:tcW w:w="32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(22,305)</w:t>
            </w:r>
          </w:p>
        </w:tc>
        <w:tc>
          <w:tcPr>
            <w:tcW w:w="326" w:type="dxa"/>
            <w:tcBorders/>
            <w:shd w:fill="auto" w:val="clear"/>
            <w:vAlign w:val="center"/>
          </w:tcPr>
          <w:p>
            <w:pPr>
              <w:pStyle w:val="TableContents"/>
              <w:spacing w:before="0" w:after="0"/>
              <w:ind w:left="0" w:right="0" w:hanging="0"/>
              <w:rPr/>
            </w:pPr>
            <w:r>
              <w:rPr/>
              <w:t> </w:t>
            </w:r>
          </w:p>
        </w:tc>
        <w:tc>
          <w:tcPr>
            <w:tcW w:w="7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(3,234)</w:t>
            </w:r>
          </w:p>
        </w:tc>
      </w:tr>
      <w:tr>
        <w:trPr/>
        <w:tc>
          <w:tcPr>
            <w:tcW w:w="58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beginning of the period</w:t>
            </w:r>
          </w:p>
        </w:tc>
        <w:tc>
          <w:tcPr>
            <w:tcW w:w="326" w:type="dxa"/>
            <w:tcBorders/>
            <w:shd w:fill="CCEEFF" w:val="clear"/>
            <w:vAlign w:val="center"/>
          </w:tcPr>
          <w:p>
            <w:pPr>
              <w:pStyle w:val="TableContents"/>
              <w:spacing w:before="0" w:after="0"/>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13,680</w:t>
            </w:r>
          </w:p>
        </w:tc>
        <w:tc>
          <w:tcPr>
            <w:tcW w:w="326" w:type="dxa"/>
            <w:tcBorders/>
            <w:shd w:fill="CCEEFF" w:val="cle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21,631</w:t>
            </w:r>
          </w:p>
        </w:tc>
        <w:tc>
          <w:tcPr>
            <w:tcW w:w="326" w:type="dxa"/>
            <w:tcBorders/>
            <w:shd w:fill="CCEEFF" w:val="cle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43,981</w:t>
            </w:r>
          </w:p>
        </w:tc>
        <w:tc>
          <w:tcPr>
            <w:tcW w:w="326" w:type="dxa"/>
            <w:tcBorders/>
            <w:shd w:fill="CCEEFF" w:val="clear"/>
            <w:vAlign w:val="center"/>
          </w:tcPr>
          <w:p>
            <w:pPr>
              <w:pStyle w:val="TableContents"/>
              <w:spacing w:before="0" w:after="0"/>
              <w:ind w:left="0" w:right="0" w:hanging="0"/>
              <w:rPr/>
            </w:pPr>
            <w:r>
              <w:rPr/>
              <w:t> </w:t>
            </w:r>
          </w:p>
        </w:tc>
        <w:tc>
          <w:tcPr>
            <w:tcW w:w="7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r>
      <w:tr>
        <w:trPr/>
        <w:tc>
          <w:tcPr>
            <w:tcW w:w="58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end of the period</w:t>
            </w:r>
          </w:p>
        </w:tc>
        <w:tc>
          <w:tcPr>
            <w:tcW w:w="326" w:type="dxa"/>
            <w:tcBorders/>
            <w:shd w:fill="auto" w:val="clear"/>
            <w:vAlign w:val="center"/>
          </w:tcPr>
          <w:p>
            <w:pPr>
              <w:pStyle w:val="TableContents"/>
              <w:spacing w:before="0" w:after="0"/>
              <w:ind w:left="0" w:right="0" w:hanging="0"/>
              <w:rPr/>
            </w:pPr>
            <w:r>
              <w:rPr/>
              <w:t> </w:t>
            </w:r>
          </w:p>
        </w:tc>
        <w:tc>
          <w:tcPr>
            <w:tcW w:w="71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21,631</w:t>
            </w:r>
          </w:p>
        </w:tc>
        <w:tc>
          <w:tcPr>
            <w:tcW w:w="326" w:type="dxa"/>
            <w:tcBorders/>
            <w:shd w:fill="auto" w:val="clear"/>
            <w:vAlign w:val="center"/>
          </w:tcPr>
          <w:p>
            <w:pPr>
              <w:pStyle w:val="TableContents"/>
              <w:spacing w:before="0" w:after="0"/>
              <w:ind w:left="0" w:right="0" w:hanging="0"/>
              <w:rPr/>
            </w:pPr>
            <w:r>
              <w:rPr/>
              <w:t> </w:t>
            </w:r>
          </w:p>
        </w:tc>
        <w:tc>
          <w:tcPr>
            <w:tcW w:w="7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43,981</w:t>
            </w:r>
          </w:p>
        </w:tc>
        <w:tc>
          <w:tcPr>
            <w:tcW w:w="326" w:type="dxa"/>
            <w:tcBorders/>
            <w:shd w:fill="auto" w:val="clear"/>
            <w:vAlign w:val="center"/>
          </w:tcPr>
          <w:p>
            <w:pPr>
              <w:pStyle w:val="TableContents"/>
              <w:spacing w:before="0" w:after="0"/>
              <w:ind w:left="0" w:right="0" w:hanging="0"/>
              <w:rPr/>
            </w:pPr>
            <w:r>
              <w:rPr/>
              <w:t> </w:t>
            </w:r>
          </w:p>
        </w:tc>
        <w:tc>
          <w:tcPr>
            <w:tcW w:w="7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21,676</w:t>
            </w:r>
          </w:p>
        </w:tc>
        <w:tc>
          <w:tcPr>
            <w:tcW w:w="326" w:type="dxa"/>
            <w:tcBorders/>
            <w:shd w:fill="auto" w:val="clear"/>
            <w:vAlign w:val="center"/>
          </w:tcPr>
          <w:p>
            <w:pPr>
              <w:pStyle w:val="TableContents"/>
              <w:spacing w:before="0" w:after="0"/>
              <w:ind w:left="0" w:right="0" w:hanging="0"/>
              <w:rPr/>
            </w:pPr>
            <w:r>
              <w:rPr/>
              <w:t> </w:t>
            </w:r>
          </w:p>
        </w:tc>
        <w:tc>
          <w:tcPr>
            <w:tcW w:w="75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3,143</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As of December 31, 2020, 2021 and 2022, cash held in accounts managed by online payment platforms such as Alipay and WeChat Pay amounted to RMB1.3 billion, RMB2.2 billion and RMB1.0 billion (US$0.1 billion), respectively. These amounts of cash held by online payment platforms have been classified as cash and cash equivalents on our consolidated balance sheets. Cash and time deposits that are restricted as to withdrawal for use or pledged as security are reported as restricted cash. Restricted cash is classified into current and non-current based on the length of restricted period. Our restricted cash primarily represents deposits in banks which are restricted in use.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a summary of assets managed by our treasury function, including cash and cash equivalents, restricted cash and treasury investments.</w:t>
      </w:r>
    </w:p>
    <w:p>
      <w:pPr>
        <w:pStyle w:val="TextBody"/>
        <w:spacing w:before="0" w:after="0"/>
        <w:ind w:left="0" w:right="0" w:firstLine="720"/>
        <w:rPr/>
      </w:pPr>
      <w:r>
        <w:rPr/>
        <w:t>​</w:t>
      </w:r>
    </w:p>
    <w:tbl>
      <w:tblPr>
        <w:tblW w:w="7267" w:type="dxa"/>
        <w:jc w:val="left"/>
        <w:tblInd w:w="0" w:type="dxa"/>
        <w:tblCellMar>
          <w:top w:w="0" w:type="dxa"/>
          <w:left w:w="0" w:type="dxa"/>
          <w:bottom w:w="0" w:type="dxa"/>
          <w:right w:w="0" w:type="dxa"/>
        </w:tblCellMar>
      </w:tblPr>
      <w:tblGrid>
        <w:gridCol w:w="4081"/>
        <w:gridCol w:w="326"/>
        <w:gridCol w:w="721"/>
        <w:gridCol w:w="326"/>
        <w:gridCol w:w="721"/>
        <w:gridCol w:w="326"/>
        <w:gridCol w:w="766"/>
      </w:tblGrid>
      <w:tr>
        <w:trPr/>
        <w:tc>
          <w:tcPr>
            <w:tcW w:w="4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591435" cy="175260"/>
                      <wp:effectExtent l="0" t="0" r="0" b="0"/>
                      <wp:wrapNone/>
                      <wp:docPr id="207" name="Frame200"/>
                      <a:graphic xmlns:a="http://schemas.openxmlformats.org/drawingml/2006/main">
                        <a:graphicData uri="http://schemas.microsoft.com/office/word/2010/wordprocessingShape">
                          <wps:wsp>
                            <wps:cNvSpPr txBox="1"/>
                            <wps:spPr>
                              <a:xfrm>
                                <a:off x="0" y="0"/>
                                <a:ext cx="2591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8"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7835" cy="175260"/>
                      <wp:effectExtent l="0" t="0" r="0" b="0"/>
                      <wp:wrapNone/>
                      <wp:docPr id="209" name="Frame202"/>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0"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57835" cy="175260"/>
                      <wp:effectExtent l="0" t="0" r="0" b="0"/>
                      <wp:wrapNone/>
                      <wp:docPr id="211" name="Frame20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2"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86410" cy="175260"/>
                      <wp:effectExtent l="0" t="0" r="0" b="0"/>
                      <wp:wrapNone/>
                      <wp:docPr id="213" name="Frame206"/>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8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(US$in</w:t>
            </w:r>
          </w:p>
        </w:tc>
      </w:tr>
      <w:tr>
        <w:trPr/>
        <w:tc>
          <w:tcPr>
            <w:tcW w:w="4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millions)</w:t>
            </w:r>
          </w:p>
        </w:tc>
      </w:tr>
      <w:tr>
        <w:trPr/>
        <w:tc>
          <w:tcPr>
            <w:tcW w:w="40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43,981</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21,676</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3,143</w:t>
            </w:r>
          </w:p>
        </w:tc>
      </w:tr>
      <w:tr>
        <w:trPr/>
        <w:tc>
          <w:tcPr>
            <w:tcW w:w="408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Time deposits stated at amortized cost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16,877</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25,411</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r>
      <w:tr>
        <w:trPr/>
        <w:tc>
          <w:tcPr>
            <w:tcW w:w="408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Structured notes stated under fair value option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40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60,863</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48,842</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7,081</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short-term time deposits stated at amortized cost in “short-term investments” (Note 5 to our consolidated financial statements) amounting to RMB13.2 billion and RMB17.0 billion (US$2.5 billion) as of December 31, 2021 and 2022, respectively, and long-term time deposits stated at amortized cost in “investment securities and other investments” (Note 9 to our consolidated financial statements) amounting to RMB3.7 billion and RMB8.4 billion (US$1.2 billion) as of December 31, 2021 and 2022, respectively.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short-term structured notes under fair value option in “short-term investments” (Note 5 to our consolidated financial statements) amounting to RMB4.6 million and nil as of December 31, 2021 and 2022, respectively, and long-term structured notes under fair value option in “investment securities and other investments” (Note 9 to our consolidated financial statements) amounting to nil and RMB1.8 billion (US$0.3 billion) as of December 31, 2021 and 2022, respectively.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regularly monitor the balance of our cash and cash equivalents, restricted cash and treasury investments as well as the funding requirements of our business. As of December 31, 2021, and 2022, cash and cash equivalents, restricted cash and treasury investments amounted to RMB60.9 billion and RMB48.8 billion (US$7.1 billion), respectively. The decrease of RMB12.1 billion (US$1.8 billion) in 2022 was primarily attributable to the net cash used in operating activities amounting to RMB9.6 billion (US$1.4 billion).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Historically, we have funded our operations through a combination of cash from operations, private and public rounds of equity financing and credit facilities from commercial banks. In April 2021, we entered into a revolving credit facility agreement with certain banks, pursuant to which we could borrow up to US$1.6 billion, with an accordion option of up to US$0.4 billion. We cancelled this agreement without drawing down any funds under it in March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cash from operations, existing cash, cash equivalents and short-term investments are sufficient to fund our operating activities, capital expenditures and other obligations for the next 12 months. We may decide to enhance our liquidity position or increase our cash reserve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used in operating activities in 2022 was RMB9.6 billion (US$1.4 billion), as compared to a net loss of RMB23.8 billion (US$3.4 billion) for the same period. The difference was due to RMB16.2 billion (US$2.3 billion) for non-cash or non-operating adjustments, partially offset by RMB2.0 billion (US$0.3 billion) for changes in our working capital accounts. Non-cash or non-operating adjustments consisted primarily of interest income and investment loss (income), net of RMB5.5 billion (US$0.8 billion), depreciation and amortization expenses of RMB5.1 billion (US$0.7 billion), share-based compensation of RMB3.4 billion (US$0.5 billion), foreign exchange loss (gain), net of RMB1.4 billion (US$0.2 billion), and allowances for credit losses of RMB1.1 billion (US$0.2 billion). Changes in our working capital accounts consisted primarily of a decrease of RMB1.2 billion (US$0.2 billion) in accounts and notes payable, and a decrease of RMB1.0 billion (US$0.1 billion) in accrued expenses and other current liabilities, partially offset by an increase of RMB0.4 billion (US$52 million) in other non-current assets.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operating activities in 2021 was RMB13.4 billion, as compared to a net loss of RMB49.3 billion for the same period. The difference was due to RMB37.7 billion for non-cash or non-operating adjustments, partially offset by RMB1.8 billion for changes in our working capital accounts. Non-cash or non-operating adjustments consisted primarily of share-based compensation of RMB24.7 billion, depreciation and amortization expenses of RMB6.0 billion, impairment of goodwill and intangible assets of RMB2.8 billion, impairment of property and equipment and other assets of RMB2.3 billion, and allowances for credit losses of RMB1.3 billion. Changes in our working capital accounts consisted primarily of an increase of RMB1.2 billion in other non-current assets, a decrease of RMB1.1 billion in accounts and notes payables, an increase of RMB0.8 billion in prepayments, receivables and other current assets, and an increase of RMB0.7 billion in accounts and notes receivable, partially offset by an increase of RMB2.3 billion in accrued expenses and other current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operating activities for the year ended December 31, 2020 was RMB1.1 billion, as compared to a net loss of RMB10.6 billion for the same year. The difference was due to RMB8.3 billion for non-cash or non-operating adjustments and RMB3.4 billion for changes in our working capital accounts. Non-cash or non-operating adjustments consisted primarily of depreciation and amortization expenses of RMB5.3 billion, share-based compensation of RMB3.4 billion and loss from equity method investments, net of RMB1.1 billion, partially offset by interest income and investment loss (income), net of RMB2.6 billion. Changes in our working capital accounts consisted primarily of an increase in accrued expenses and other current liabilities of RMB3.1 billion and an increase of RMB1.2 billion in accounts and notes payable, partially offset by an increase of RMB0.9 billion in prepayments, receivables and other current assets.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in 2022 was RMB11.0 billion (US$1.6 billion), primarily as a result of the purchase of short</w:t>
        <w:noBreakHyphen/>
        <w:t xml:space="preserve">term investments of RMB25.7 billion (US$3.7 billion), loan receivable originated from third parties of RMB14.7 billion (US$2.1 billion), the purchase of long-term time deposits and debt investments stated at amortized cost of RMB7.8 billion (US$1.1 billion), the purchase of property and equipment and intangible assets of RMB2.6 billion (US$0.4 billion), and the purchase of other investment securities of RMB2.1 billion (US$0.3 billion), partially offset by the proceeds from maturities of short-term investments of RMB25.2 billion (US$3.6 billion), cash received from loan repayments of third parties of RMB13.6 billion (US$2.0 billion), the cash proceeds from distribution of Chengxin of RMB1.8 billion (US$0.3 billion), and the proceeds from disposal of property and equipment and intangible assets of RMB0.7 billion (US$0.1 billion).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investing activities in 2021 was RMB1.1 billion, primarily as a result of the proceeds from maturities of short-term investments of RMB37.8 billion and cash received from loan repayments of third parties of RMB12.7 billion, partially offset by the purchase of investment securities and other investments of RMB21.5 billion, loan receivable originated from third parties of RMB15.1 billion and purchase of short-term investments of RMB12.9 billion.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for the year ended December 31, 2020 was RMB1.9 billion, primarily as a result of the purchase of short-term investments of RMB68.6 billion, loans receivable originated from third parties of RMB6.5 billion, purchase of property, equipment and intangible assets of RMB5.8 billion, purchase of investment securities and other investments of RMB3.0 billion, and purchase of long-term investments of RMB0.8 billion, partially offset by the proceeds from maturities of short-term investments of RMB71.0 billion, proceeds from disposal of investment securities and other investments of RMB6.7 billion and cash received from loan repayments of third parties of RMB4.9 billion.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used in financing activities in 2022 was RMB3.5 billion (US$0.5 billion), primarily as a result of repayments of short-term borrowings and long-term borrowings of RMB7.0 billion (US$1.0 billion), partially offset by proceeds from short-term borrowings and long-term borrowings of RMB3.8 billion (US$0.6 billion).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financing activities in 2021 was RMB35.2 billion, primarily as a result of net proceeds from issuance of ordinary shares upon initial public offering of RMB28.0 billion, proceeds from issuance of convertible redeemable non-controlling interest and convertible non-controlling interest, net of issuance cost, of RMB9.2 billion, and proceeds from short-term borrowings and long-term borrowings of RMB7.9 billion, partially offset by repayments of short-term borrowings and long-term borrowings of RMB7.2 billion and taxes paid related to net exercise of share options of RMB2.4 billion.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financing activities for the year ended December 31, 2020 was RMB9.3 billion, primarily as a result of proceeds from short-term borrowings and long-term borrowings of RMB7.0 billion, proceeds from issuance of convertible redeemable non-controlling interest and convertible non-controlling interest, net of issuance cost, of RMB3.3 billion, partially offset by repayments of short-term borrowings and long-term borrowings of RMB1.0 billion.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contractual obligations and commitments as of December 31, 2022:</w:t>
      </w:r>
    </w:p>
    <w:p>
      <w:pPr>
        <w:pStyle w:val="TextBody"/>
        <w:spacing w:before="0" w:after="0"/>
        <w:ind w:left="0" w:right="0" w:hanging="0"/>
        <w:rPr/>
      </w:pPr>
      <w:r>
        <w:rPr/>
        <w:t>​</w:t>
      </w:r>
    </w:p>
    <w:tbl>
      <w:tblPr>
        <w:tblW w:w="8506" w:type="dxa"/>
        <w:jc w:val="left"/>
        <w:tblInd w:w="0" w:type="dxa"/>
        <w:tblCellMar>
          <w:top w:w="0" w:type="dxa"/>
          <w:left w:w="0" w:type="dxa"/>
          <w:bottom w:w="0" w:type="dxa"/>
          <w:right w:w="0" w:type="dxa"/>
        </w:tblCellMar>
      </w:tblPr>
      <w:tblGrid>
        <w:gridCol w:w="1981"/>
        <w:gridCol w:w="326"/>
        <w:gridCol w:w="496"/>
        <w:gridCol w:w="326"/>
        <w:gridCol w:w="1291"/>
        <w:gridCol w:w="326"/>
        <w:gridCol w:w="811"/>
        <w:gridCol w:w="326"/>
        <w:gridCol w:w="811"/>
        <w:gridCol w:w="326"/>
        <w:gridCol w:w="1486"/>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57935" cy="175260"/>
                      <wp:effectExtent l="0" t="0" r="0" b="0"/>
                      <wp:wrapNone/>
                      <wp:docPr id="214" name="Frame207"/>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5"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14960" cy="175260"/>
                      <wp:effectExtent l="0" t="0" r="0" b="0"/>
                      <wp:wrapNone/>
                      <wp:docPr id="216" name="Frame209"/>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7"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819785" cy="175260"/>
                      <wp:effectExtent l="0" t="0" r="0" b="0"/>
                      <wp:wrapNone/>
                      <wp:docPr id="218" name="Frame211"/>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9"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14985" cy="175260"/>
                      <wp:effectExtent l="0" t="0" r="0" b="0"/>
                      <wp:wrapNone/>
                      <wp:docPr id="220" name="Frame21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1"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4985" cy="175260"/>
                      <wp:effectExtent l="0" t="0" r="0" b="0"/>
                      <wp:wrapNone/>
                      <wp:docPr id="222" name="Frame21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3"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43610" cy="175260"/>
                      <wp:effectExtent l="0" t="0" r="0" b="0"/>
                      <wp:wrapNone/>
                      <wp:docPr id="224" name="Frame217"/>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8506"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199" w:type="dxa"/>
            <w:gridSpan w:val="9"/>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 in millions)</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Non-cancellable leases</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Non-cancellable leases represent leases for office premises.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as shown above, we did not have any significant capital and other commitments, long-term obligations, or guarantees as of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OFF-BALANCE SHEET COMMITMENTS AND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have any significant financial guarantees or other commitments to guarantee the payment obligations of any unconsolidated third parties. We have not entered into any derivative contracts that are indexed to our shares and classified as shareholders’ equity or that are not reflected in our consolidated financial statements.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HOLDING COMPANY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DiDi Global Inc. is a holding company with no material operations of its own. We conduct our operations primarily through our PRC subsidiaries, the VIEs and the VIEs’ subsidiaries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DiDi Global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our subsidiaries and VIEs may allocate a portion of their after-tax profits based on PRC accounting standards to discretionary surplus funds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some of them will not be able to pay dividends until they generate accumulated profits and meet the requirements for statutory reserve funds.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3. Key Information—Cash and Asset Flows Through Our Organization”.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3. Key Information—Financial Information Related to Our Consolidated Affiliated Entities” for condensed consolidating schedules of financial position for our consolidated affiliated entities and other entities for the years ended December 31, 2020, 2021 and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Company—B. Business Overview—Technology and Data” and “Item 4. Information on the Company—B. Business Overview—Intellectual Property.”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than as disclosed elsewhere in this annual report, we are not aware of any trends, uncertainties, demands, commitments or events for the year ended December 31, 2022 that are reasonably likely to have a material and adverse effect on our income, expenses, profitability, liquidity or capital resources, or that would cause the disclosed financial information to be not necessarily indicative of future results of operations or financial conditions.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64" w:name="_Hlk102161404"/>
      <w:bookmarkEnd w:id="64"/>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relates to our consolidated financial statements, which have been prepared in accordance with generally accepted accounting principles in the United States, known as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For a detailed discussion of our significant accounting policies and related judgments, please see Note 3 to our consolidated financial statements. You should read the following description of critical accounting estimates in conjunction with our consolidated financial statements and other disclosures included in this annual report.</w:t>
      </w:r>
    </w:p>
    <w:p>
      <w:pPr>
        <w:pStyle w:val="TextBody"/>
        <w:spacing w:before="0" w:after="160"/>
        <w:ind w:left="0" w:right="0" w:hanging="0"/>
        <w:rPr>
          <w:rFonts w:ascii="Times New Roman;Times;serif" w:hAnsi="Times New Roman;Times;serif"/>
          <w:b/>
          <w:i/>
          <w:sz w:val="20"/>
        </w:rPr>
      </w:pPr>
      <w:r>
        <w:rPr>
          <w:rFonts w:ascii="Times New Roman;Times;serif" w:hAnsi="Times New Roman;Times;serif"/>
          <w:b/>
          <w:i/>
          <w:sz w:val="20"/>
        </w:rPr>
        <w:t>Impairment assessment of goodwill</w:t>
      </w:r>
    </w:p>
    <w:p>
      <w:pPr>
        <w:pStyle w:val="TextBody"/>
        <w:spacing w:before="0" w:after="160"/>
        <w:ind w:left="0" w:right="0" w:firstLine="720"/>
        <w:rPr>
          <w:rFonts w:ascii="Times New Roman;Times;serif" w:hAnsi="Times New Roman;Times;serif"/>
          <w:sz w:val="20"/>
        </w:rPr>
      </w:pPr>
      <w:bookmarkStart w:id="65" w:name="_Hlk102347177"/>
      <w:bookmarkEnd w:id="65"/>
      <w:r>
        <w:rPr>
          <w:rFonts w:ascii="Times New Roman;Times;serif" w:hAnsi="Times New Roman;Times;serif"/>
          <w:sz w:val="20"/>
        </w:rPr>
        <w:t>Goodwill is not depreciated or amortized but is tested for impairment on an annual basis, and between annual tests when an event occurs, or circumstances change that could indicate that the asset might be impaired.</w:t>
      </w:r>
    </w:p>
    <w:p>
      <w:pPr>
        <w:pStyle w:val="TextBody"/>
        <w:spacing w:before="0" w:after="160"/>
        <w:ind w:left="0" w:right="0" w:firstLine="720"/>
        <w:rPr>
          <w:rFonts w:ascii="Times New Roman;Times;serif" w:hAnsi="Times New Roman;Times;serif"/>
          <w:sz w:val="20"/>
        </w:rPr>
      </w:pPr>
      <w:r>
        <w:rPr>
          <w:rFonts w:ascii="Times New Roman;Times;serif" w:hAnsi="Times New Roman;Times;serif"/>
          <w:i/>
          <w:sz w:val="20"/>
        </w:rPr>
        <w:t>Nature of Estimates Required— Goodwill.</w:t>
      </w:r>
      <w:r>
        <w:rPr>
          <w:rFonts w:ascii="Times New Roman;Times;serif" w:hAnsi="Times New Roman;Times;serif"/>
          <w:sz w:val="20"/>
        </w:rPr>
        <w:t xml:space="preserve"> Goodwill is subject to periodic assessments of impairment. We test goodwill for impairment annually during the fourth quarter, or when an event occurs or circumstances change that indicate the asset may be impaired. We assess qualitative factors such as industry and market conditions, overall financial performance of the reporting unit, and other specific information related to the operations to determine whether it is more likely than not that the fair value of a reporting unit is less than its carrying amount. If a qualitative assessment identifies a possible impairment, a quantitative goodwill impairment test is performed. If the carrying amount of the reporting unit is above fair value, an impairment loss is recognized in an amount equal to the excess.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i/>
          <w:sz w:val="20"/>
        </w:rPr>
        <w:t>Assumptions and Approach— Goodwill</w:t>
      </w:r>
      <w:r>
        <w:rPr>
          <w:rFonts w:ascii="Times New Roman;Times;serif" w:hAnsi="Times New Roman;Times;serif"/>
          <w:sz w:val="20"/>
        </w:rPr>
        <w:t>. Application of a goodwill impairment test requires significant management judgment, primarily on determining the fair value of the reporting unit. The judgment in estimating the fair value of the reporting units includes estimating future cash flows, determining appropriate discount rates and making other assumptions. In estimating future cash flows, the assumptions include, among others, compound annual growth rate of revenue and profit margins. We apply a discount rate to the estimated future cash flows to determine the estimated fair value of the reporting unit. Changes in these estimates and assumptions could materially affect the determination of fair value for the reporting unit.</w:t>
      </w:r>
    </w:p>
    <w:p>
      <w:pPr>
        <w:pStyle w:val="TextBody"/>
        <w:spacing w:before="0" w:after="160"/>
        <w:ind w:left="0" w:right="0" w:hanging="0"/>
        <w:rPr>
          <w:rFonts w:ascii="Times New Roman;Times;serif" w:hAnsi="Times New Roman;Times;serif"/>
          <w:i/>
          <w:sz w:val="20"/>
        </w:rPr>
      </w:pPr>
      <w:r>
        <w:rPr>
          <w:rFonts w:ascii="Times New Roman;Times;serif" w:hAnsi="Times New Roman;Times;serif"/>
          <w:i/>
          <w:sz w:val="20"/>
        </w:rPr>
        <w:t>Reporting unit of China Mobility</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carrying amount of goodwill allocated to the China Mobility reporting unit was RMB46.3 billion, RMB46.3 billion and RMB46.3 billion (US$6.7 billion) as of December 31, 2020, 2021 and 2022, respectively.</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Considering similar economic characteristics shared among different components within China Mobility, we determined that China mobility is a single reporting unit for goodwill impairment analysis.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performed qualitative impairment assessments for the goodwill arising from the acquisition of Kuaidi and Uber China in China Mobility and concluded that there was no impairment for the goodwill as of December 31, 2020.</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Considering the adverse change in the operating and financial performance of China Mobility, we determined that a quantitative assessment was required at December 31, 2021. We compared the fair value to the carrying amount of China Mobility in the impairment test. We estimated the fair value by using the income approach, which considered a number of factors, including expected future cash flows and discount rate. Expected future cash flows are dependent on certain key assumptions including compound annual growth rate of revenue. These factors are subject to high degree of judgment and complexity. Based on the quantitative assessment results, the fair value of China Mobility exceeded its carrying amount by more than 30% as of December 31, 2021. In order to assess the impact of changes in certain significant inputs, we performed a sensitivity analysis decreasing the annual growth rate and increasing the discount rate by 1%. This analysis still resulted in the fair value of China Mobility exceeding its carrying amount by a sufficient amount. Therefore, we concluded that there was no impairment of goodwill as of December 31, 2021.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A sustained decrease in our ADSs price quoted on OTC Pink was considered an indicator requiring an interim goodwill quantitative impairment test on the reporting unit of China Mobility as of September 30, 2022. We compared the fair value to the carrying amount of China Mobility in the impairment test. We estimated the fair value by using the income approach, which considered a number of factors, including expected future cash flows and discount rate. Expected future cash flows are dependent on certain key assumptions including compound annual growth rate of revenue and profit margins. Based on the quantitative assessment results, the fair value of China Mobility exceeded its carrying amount as of September 30, 2022. In order to assess the impact of changes in certain significant inputs, we performed a sensitivity analysis decreasing the annual growth rate and increasing the discount rate by 1%. This analysis still resulted in the fair value of China Mobility exceeding its carrying amount. Therefore, we concluded that there was no impairment of goodwill as of September 30, 2022. </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performed a qualitative impairment assessment for the goodwill in China Mobility at the year end of 2022 and concluded that there was no impairment on its goodwill as of December 31, 2022. However, the key assumptions could change in the future, reducing the fair value of reporting unit to a level that would result in an impairment of goodwill.</w:t>
      </w:r>
    </w:p>
    <w:p>
      <w:pPr>
        <w:pStyle w:val="TextBody"/>
        <w:spacing w:before="0" w:after="160"/>
        <w:ind w:left="0" w:right="0" w:hanging="0"/>
        <w:rPr>
          <w:rFonts w:ascii="Times New Roman;Times;serif" w:hAnsi="Times New Roman;Times;serif"/>
          <w:i/>
          <w:sz w:val="20"/>
        </w:rPr>
      </w:pPr>
      <w:r>
        <w:rPr>
          <w:rFonts w:ascii="Times New Roman;Times;serif" w:hAnsi="Times New Roman;Times;serif"/>
          <w:i/>
          <w:sz w:val="20"/>
        </w:rPr>
        <w:t>Other Reporting Units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As the global COVID-19 pandemic has increased the uncertainty on the ride hailing services in overseas countries, we performed a quantitative analysis on the reporting unit of 99 Taxi and concluded that there was no impairment of goodwill based on the quantitative assessment results as of December 31,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longer-term trajectory of the COVID-19 pandemic and complex and volatile market environment in Brazil, we performed a quantitative analysis on 99 Taxis as of December 31, 2021. We estimated the fair value by using the income approach, which considered a number of factors, including expected future cash flows and discount rate. Expected future cash flows are dependent on certain key assumptions including compound annual growth rate of revenue. Based on the quantitative assessment results, the fair value of the reporting unit was below its carrying amount as of December 31, 2021. Therefore, we fully impaired goodwill and intangible assets relating to 99 Taxis with the amount of RMB2.8 billion in total for the year ended December 31,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Impairment assessment of long-lived assets other than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Long-lived assets other than goodwill are tested at the level of the smallest identifiable group of assets that generates cash inflows that are largely independent of the cash inflows from other assets or groups of assets. </w:t>
      </w:r>
    </w:p>
    <w:p>
      <w:pPr>
        <w:pStyle w:val="TextBody"/>
        <w:spacing w:before="0" w:after="240"/>
        <w:ind w:left="0" w:right="0" w:firstLine="720"/>
        <w:rPr>
          <w:rFonts w:ascii="Times New Roman;Times;serif" w:hAnsi="Times New Roman;Times;serif"/>
          <w:sz w:val="20"/>
        </w:rPr>
      </w:pPr>
      <w:bookmarkStart w:id="66" w:name="_Hlk102347522"/>
      <w:bookmarkEnd w:id="66"/>
      <w:r>
        <w:rPr>
          <w:rFonts w:ascii="Times New Roman;Times;serif" w:hAnsi="Times New Roman;Times;serif"/>
          <w:sz w:val="20"/>
        </w:rPr>
        <w:t>As a result of the adverse change in the operating and financial performance of our bikes and e-bikes sharing business during the third quarter of 2021, a quantitative impairment assessment was first performed based on the undiscounted future cash flows for each identifiable asset group within our bike and e-bike sharing business with unobservable inputs. The impairment was measured using the discount rate of 16% for asset groups that failed the first step impairment test. Based on the quantitative assessment results, we recognized the impairment loss of bikes and e-bikes with the amount of RMB2.2 billion during the third quarter of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making cash flow projections, we make assumptions about the demand for our services relating to our bike and e-bike sharing business. These assumptions drive our key assumptions for GTV and revenue derived from our bike and e-bike sharing business. We also make assumptions about our cost levels. These projections are derived using our internal business plan forecasts that are updated at least annually and reviewed by management. When measuring possible impairment, future cash flows are discounted at a rate that is consistent with a discount curve of market rate that we anticipate a potential market participant would use. Discount curve of market rate is an estimate of the overall risk-adjusted after-tax rate of return expected by equity and debt holders of a business enterprise.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ongoing analysis and review of our bike and e-bike sharing business, no additional impairment loss was recorded for our bikes and e-bikes for the year ended December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 ordinary shares and convertible note of Chengxin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the investment in ordinary shares and convertible note of Chengxin are not traded in an active market with readily observable quoted prices, we use significant unobservable inputs (Level 3) to measure their fair value at inception and at each subsequent balance sheet date, with assistance of a third-party independent appraiser.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the investment in ordinary shares and convertible note of Chengxin upon the deconsolidation on March 30, 2021 was determined by referencing the most recent financing transaction in preferred shares of Chengxin and used as an input to an option-pricing model. Other key inputs to the option-pricing model were discount for lack of marketability relating to Chengxin’s ordinary shares and preferred shares ranging from 12% to 25%, volatility of 55% and time to liquidity of 5.0 years.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intense competition and tightening regulatory environment, Chengxin experienced an adverse change in its operating and financial performance during the third quarter of 2021. In light of the further adverse change during the fourth quarter of 2021 and challenge of obtaining additional financing, Chengxin revised its business plan to scale down significantly and undertake a strategic business model transition, aiming for a more sustainable operation in the near future. At December 31, 2021, we remeasured the fair value of the investment in ordinary shares and convertible note of Chengxin by using scenario-based model which incorporated various estimates, including scenario probability estimates, projected cash flow for each scenario, discount rates and other factors. Two scenarios were considered, including a scenario in which Chengxin will continue to operate normally and complete an initial public offering, referred to below as Scenario I, and a scenario in which Chengxin remains private and will continue to carry active operation with a limited period of time, referred to below as Scenario II. The probabilities of two scenarios were determined by us based on an analysis of Chengxin’s performance and market conditions at the time. Under both scenarios, the total equity value was determined by using the income approach, specifically a discounted cash flow analysis with unobservable inputs including the discount rates of 22% and 20% respectively for Scenario I and Scenario II. The equity value under Scenario I was allocated on an as-if-fully-converted basis whereas under Scenario II equity value was allocated to each class of shares according to their seniority. We recorded downward fair value changes of RMB21.3 billion for our investments in Chengxin in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Considering continuous adverse impact on Chengxin’s operating and financial performance in 2022, the shareholders of Chengxin considered that it would be in the best interests of Chengxin and its shareholders not to continue to operate the community group buying business. Therefore, Chengxin’s shareholders and board resolved to distribute all of its available assets to its shareholders, in accordance with the distribution sequences outlined in the relevant agreements. As a shareholder of Chengxin, we received our share of the Chengxin’s assets of RMB1.9 billion upon the completion of the distribution in July 2022. The difference of RMB1.2 billion between the distributions received and the investment balance at December 31, 2021 was recorded in investment income (loss), net in the consolidated statement of comprehensive loss in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Share-based compensation and valuation of our ordinary shares</w:t>
      </w:r>
    </w:p>
    <w:p>
      <w:pPr>
        <w:pStyle w:val="TextBody"/>
        <w:spacing w:before="0" w:after="240"/>
        <w:ind w:left="0" w:right="0" w:firstLine="720"/>
        <w:rPr>
          <w:rFonts w:ascii="Times New Roman;Times;serif" w:hAnsi="Times New Roman;Times;serif"/>
          <w:sz w:val="20"/>
        </w:rPr>
      </w:pPr>
      <w:bookmarkStart w:id="67" w:name="_Hlk102347841"/>
      <w:bookmarkEnd w:id="67"/>
      <w:r>
        <w:rPr>
          <w:rFonts w:ascii="Times New Roman;Times;serif" w:hAnsi="Times New Roman;Times;serif"/>
          <w:sz w:val="20"/>
        </w:rPr>
        <w:t>We accounted for share-based compensation issued to employees and non-employees in accordance with ASC 718 Compensation-Stock compensation (“ASC 718”). Generally, share-based awards are recognized as costs and expenses, except to the extent the share-based compensation is recognized in our investment income (loss), net as certain share-based awards are issued to the employees of the certain equity investee.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Share-based awards with service conditions only are measured at the grant date fair value of the awards and recognized as expenses using the graded-vesting method, net of estimated forfeitures, if any, over the requisite service period. Share-based awards that are subject to both service conditions and the occurrence of an initial public offering or deemed liquidation events as performance conditions are measured at the grant date fair value. Cumulative share-based compensation expenses for the awards with the performance conditions discussed above that have satisfied the service condition were recorded on June 30, 2021, which was very close to the completion of our initial public offering, using the graded-vesting method. Forfeitures are estimated based on historical experience and are periodically reviewed.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change in any of the terms or conditions of share-based awards shall be accounted for as a modification of the plan. Therefore, we calculate the incremental compensation cost of a modification as the excess of the fair value of the modified option over the fair value of the original option immediately before its terms are modified, measured based on the fair value and other pertinent factors at the modification date. For vested options, we would recognize the incremental compensation cost in the period the modification occurs and for unvested options, we would recognize, over the remaining requisite service period, the sum of the incremental compensation cost and the remaining unrecognized compensation cost for the original award on the modification date.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with the assistance of an independent third-party valuation firm, determined fair value of share-based awards granted to employees and non-employees. Prior to our initial public offering, the fair value of the restricted share units was assessed using the income approach/discounted cash flow method, with a discount for lack of marketability given that the shares underlying the awards were not publicly traded at the time of grant.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use binomial option pricing model to determine fair value of the share options. The estimated fair value of each option granted is estimated on the date of grant using the binomial option-pricing model with the following assumptions:</w:t>
      </w:r>
    </w:p>
    <w:p>
      <w:pPr>
        <w:pStyle w:val="TextBody"/>
        <w:spacing w:before="0" w:after="0"/>
        <w:ind w:left="0" w:right="0" w:firstLine="720"/>
        <w:rPr/>
      </w:pPr>
      <w:r>
        <w:rPr/>
        <w:t>​</w:t>
      </w:r>
    </w:p>
    <w:tbl>
      <w:tblPr>
        <w:tblW w:w="8043" w:type="dxa"/>
        <w:jc w:val="left"/>
        <w:tblInd w:w="0" w:type="dxa"/>
        <w:tblCellMar>
          <w:top w:w="0" w:type="dxa"/>
          <w:left w:w="0" w:type="dxa"/>
          <w:bottom w:w="0" w:type="dxa"/>
          <w:right w:w="0" w:type="dxa"/>
        </w:tblCellMar>
      </w:tblPr>
      <w:tblGrid>
        <w:gridCol w:w="2926"/>
        <w:gridCol w:w="326"/>
        <w:gridCol w:w="1261"/>
        <w:gridCol w:w="326"/>
        <w:gridCol w:w="1261"/>
        <w:gridCol w:w="326"/>
        <w:gridCol w:w="1426"/>
        <w:gridCol w:w="191"/>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58010" cy="175260"/>
                      <wp:effectExtent l="0" t="0" r="0" b="0"/>
                      <wp:wrapNone/>
                      <wp:docPr id="225" name="Frame218"/>
                      <a:graphic xmlns:a="http://schemas.openxmlformats.org/drawingml/2006/main">
                        <a:graphicData uri="http://schemas.microsoft.com/office/word/2010/wordprocessingShape">
                          <wps:wsp>
                            <wps:cNvSpPr txBox="1"/>
                            <wps:spPr>
                              <a:xfrm>
                                <a:off x="0" y="0"/>
                                <a:ext cx="1858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6"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00735" cy="175260"/>
                      <wp:effectExtent l="0" t="0" r="0" b="0"/>
                      <wp:wrapNone/>
                      <wp:docPr id="227" name="Frame220"/>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8"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00735" cy="175260"/>
                      <wp:effectExtent l="0" t="0" r="0" b="0"/>
                      <wp:wrapNone/>
                      <wp:docPr id="229" name="Frame22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0"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05510" cy="175260"/>
                      <wp:effectExtent l="0" t="0" r="0" b="0"/>
                      <wp:wrapNone/>
                      <wp:docPr id="231" name="Frame224"/>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1285" cy="175260"/>
                      <wp:effectExtent l="0" t="0" r="0" b="0"/>
                      <wp:wrapNone/>
                      <wp:docPr id="232" name="Frame22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ordinary shares (US$)</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37.65–42.08</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30.32–65.60</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7.34-19.92</w:t>
            </w:r>
          </w:p>
        </w:tc>
        <w:tc>
          <w:tcPr>
            <w:tcW w:w="191" w:type="dxa"/>
            <w:tcBorders/>
            <w:shd w:fill="CCEEFF" w:val="clear"/>
            <w:vAlign w:val="center"/>
          </w:tcPr>
          <w:p>
            <w:pPr>
              <w:pStyle w:val="TableContents"/>
              <w:spacing w:before="0" w:after="0"/>
              <w:ind w:left="0" w:right="0" w:hanging="0"/>
              <w:rPr/>
            </w:pPr>
            <w:r>
              <w:rPr/>
              <w:t>​</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31.0%–34.8%</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33.6%–37.8%</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35.27%-40.34%</w:t>
            </w:r>
          </w:p>
        </w:tc>
        <w:tc>
          <w:tcPr>
            <w:tcW w:w="191" w:type="dxa"/>
            <w:tcBorders/>
            <w:shd w:fill="auto" w:val="clear"/>
            <w:vAlign w:val="center"/>
          </w:tcPr>
          <w:p>
            <w:pPr>
              <w:pStyle w:val="TableContents"/>
              <w:spacing w:before="0" w:after="0"/>
              <w:ind w:left="0" w:right="0" w:hanging="0"/>
              <w:rPr/>
            </w:pPr>
            <w:r>
              <w:rPr/>
              <w:t>​</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1.16%–1.69%</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0.94%–1.26%</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1.52%-3.83%</w:t>
            </w:r>
          </w:p>
        </w:tc>
        <w:tc>
          <w:tcPr>
            <w:tcW w:w="191" w:type="dxa"/>
            <w:tcBorders/>
            <w:shd w:fill="CCEEFF" w:val="clear"/>
            <w:vAlign w:val="center"/>
          </w:tcPr>
          <w:p>
            <w:pPr>
              <w:pStyle w:val="TableContents"/>
              <w:spacing w:before="0" w:after="0"/>
              <w:ind w:left="0" w:right="0" w:hanging="0"/>
              <w:rPr/>
            </w:pPr>
            <w:r>
              <w:rPr/>
              <w:t>​</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91" w:type="dxa"/>
            <w:tcBorders/>
            <w:shd w:fill="auto" w:val="clear"/>
            <w:vAlign w:val="center"/>
          </w:tcPr>
          <w:p>
            <w:pPr>
              <w:pStyle w:val="TableContents"/>
              <w:spacing w:before="0" w:after="0"/>
              <w:ind w:left="0" w:right="0" w:hanging="0"/>
              <w:rPr/>
            </w:pPr>
            <w:r>
              <w:rPr/>
              <w:t>​</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Risk-free interest rate is estimated based on the yield curve of U.S. sovereign bonds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We have never declared or paid any cash dividends on its capital stock, and we do not anticipate any dividend payments in the foreseeable future. Expected term is the contract life of the options.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Prior to our initial public offering, we had been a private company with no quoted market prices for our ordinary shares. We therefore needed to make estimates of the fair value of our ordinary shares at various dates for the purposes of (i) at the date of issuance of convertible instruments as one of the inputs in determining the intrinsic value of the beneficial conversion feature; and (ii) at the date of grant of a share-based award to our employees or non-employees as the input to determine the grant date fair value of the award.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our ordinary shares was assessed using the income approach/discounted cash flow method, with a discount for lack of marketability given that the shares underlying the awards were not publicly traded at the time of grant. This assessment requires complex and subjective judgments regarding our projected financial and operating results, unique business risks, the liquidity of our ordinary shares and our operating history and prospects at the time the grants were made. The assumptions used in the assessment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these awards, and subsequent events are not indicative of the reasonableness of the original estimates of fair value made by us for accounting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option-pricing method was used to allocate equity value of our company to preferred and ordinary shares, taking into account the guidance prescribed by the AICPA Audit and Accounting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and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other major assumptions used in calculating the fair value of ordinary shares include: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Discount rates.</w:t>
      </w:r>
      <w:r>
        <w:rPr>
          <w:rFonts w:ascii="Times New Roman;Times;serif" w:hAnsi="Times New Roman;Times;serif"/>
          <w:sz w:val="20"/>
        </w:rPr>
        <w:t xml:space="preserve"> The discount rates listed in the table below were based on the weighted average cost of capital, which was determined based on a consideration of the factors including risk-free rate, macroeconomic risk, comparative industry risk, market risk premium, geographic risk, company size and non-systemic risk factors.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Comparable companies.</w:t>
      </w:r>
      <w:r>
        <w:rPr>
          <w:rFonts w:ascii="Times New Roman;Times;serif" w:hAnsi="Times New Roman;Times;serif"/>
          <w:sz w:val="20"/>
        </w:rPr>
        <w:t xml:space="preserve"> In deriving the weighted average cost of capital used as the discount rates under the income approach, certain publicly traded companies were selected for reference as our guideline companies. The guideline companies were selected based on the following criteria: similar business model and profit generating method, similar target group of consumers, services product nature, etc.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Discount for lack of marketability</w:t>
      </w:r>
      <w:r>
        <w:rPr>
          <w:rFonts w:ascii="Times New Roman;Times;serif" w:hAnsi="Times New Roman;Times;serif"/>
          <w:sz w:val="20"/>
        </w:rPr>
        <w:t xml:space="preserve"> or DLOM. The values for DLOM listed in the table below were quantified by the Finnerty Average Strike put options model. Under this option-pricing method, which assumed that the put option is struck at the average price of the stock before the privately held shares can be sold, the cost of the put option was considered as a basis to determine the DLOM. This option pricing method is one of the methods commonly used in estimating DLOM as it can take into consideration factors like timing of a liquidity event, such as an initial public offering, and estimated volatility of our shares. The farther the valuation date is from an expected liquidity event, the higher the put option value and thus the higher the implied DLOM. The higher the volatility, the higher the put option value and thus the higher the implied DLOM. If the DLOM used for the valuation is lower, the determined fair value of the ordinary shares is higher.</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the fair value of our ordinary shares estimated at different times with the assistance from an independent valuation firm.</w:t>
      </w:r>
    </w:p>
    <w:p>
      <w:pPr>
        <w:pStyle w:val="TextBody"/>
        <w:spacing w:before="0" w:after="0"/>
        <w:ind w:left="0" w:right="0" w:firstLine="720"/>
        <w:rPr/>
      </w:pPr>
      <w:r>
        <w:rPr/>
        <w:t>​</w:t>
      </w:r>
    </w:p>
    <w:tbl>
      <w:tblPr>
        <w:tblW w:w="5893" w:type="dxa"/>
        <w:jc w:val="left"/>
        <w:tblInd w:w="0" w:type="dxa"/>
        <w:tblCellMar>
          <w:top w:w="0" w:type="dxa"/>
          <w:left w:w="0" w:type="dxa"/>
          <w:bottom w:w="0" w:type="dxa"/>
          <w:right w:w="0" w:type="dxa"/>
        </w:tblCellMar>
      </w:tblPr>
      <w:tblGrid>
        <w:gridCol w:w="1696"/>
        <w:gridCol w:w="326"/>
        <w:gridCol w:w="1171"/>
        <w:gridCol w:w="326"/>
        <w:gridCol w:w="1081"/>
        <w:gridCol w:w="361"/>
        <w:gridCol w:w="616"/>
        <w:gridCol w:w="316"/>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076960" cy="175260"/>
                      <wp:effectExtent l="0" t="0" r="0" b="0"/>
                      <wp:wrapNone/>
                      <wp:docPr id="233" name="Frame226"/>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43585" cy="175260"/>
                      <wp:effectExtent l="0" t="0" r="0" b="0"/>
                      <wp:wrapNone/>
                      <wp:docPr id="235" name="Frame228"/>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6"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86435" cy="175260"/>
                      <wp:effectExtent l="0" t="0" r="0" b="0"/>
                      <wp:wrapNone/>
                      <wp:docPr id="237" name="Frame230"/>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9235" cy="175260"/>
                      <wp:effectExtent l="0" t="0" r="0" b="0"/>
                      <wp:wrapNone/>
                      <wp:docPr id="238" name="Frame23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91160" cy="175260"/>
                      <wp:effectExtent l="0" t="0" r="0" b="0"/>
                      <wp:wrapNone/>
                      <wp:docPr id="239" name="Frame23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0660" cy="175260"/>
                      <wp:effectExtent l="0" t="0" r="0" b="0"/>
                      <wp:wrapNone/>
                      <wp:docPr id="240" name="Frame23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6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Date</w:t>
            </w:r>
          </w:p>
        </w:tc>
        <w:tc>
          <w:tcPr>
            <w:tcW w:w="326" w:type="dxa"/>
            <w:tcBorders/>
            <w:shd w:fill="auto" w:val="clear"/>
            <w:vAlign w:val="center"/>
          </w:tcPr>
          <w:p>
            <w:pPr>
              <w:pStyle w:val="TableContents"/>
              <w:spacing w:before="0" w:after="0"/>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US$</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 rate</w:t>
            </w:r>
          </w:p>
        </w:tc>
        <w:tc>
          <w:tcPr>
            <w:tcW w:w="361" w:type="dxa"/>
            <w:tcBorders/>
            <w:shd w:fill="auto" w:val="cle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DLOM</w:t>
            </w:r>
          </w:p>
        </w:tc>
        <w:tc>
          <w:tcPr>
            <w:tcW w:w="316" w:type="dxa"/>
            <w:tcBorders/>
            <w:shd w:fill="auto" w:val="clear"/>
            <w:vAlign w:val="center"/>
          </w:tcPr>
          <w:p>
            <w:pPr>
              <w:pStyle w:val="TableContents"/>
              <w:spacing w:before="0" w:after="0"/>
              <w:ind w:left="0" w:right="0" w:hanging="0"/>
              <w:jc w:val="center"/>
              <w:rPr/>
            </w:pPr>
            <w:r>
              <w:rPr/>
              <w:t> </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2018</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37.48</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31, 2019</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2019</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July 29, 2020</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2021</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increase in the fair value of the ordinary shares from US$37.48 as of December 31, 2018 to US$39.87 as of December 31, 2019 was primarily attributable to the continued growth of our business, as well as a lower marketability discount given the reduction in the assumed timing to a liquidity event.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2020, the fair value of the ordinary shares decreased from US$39.87 as of December 31, 2019 to US$37.65 as of July 29, 2020, then increased to US$42.08 as of December 31, 2020. The reason was primarily attributable to the following factors: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were materially and adversely affected by the COVID-19 pandemic in the first half of 2020;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from the second quarter of 2020, many of the quarantine measures within China have been relaxed and our businesses have resumed growth;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from the third quarter of 2020, our International segment began to recover, mainly as a result of the growth of our ride hailing and food delivery services; and</w:t>
            </w:r>
          </w:p>
        </w:tc>
      </w:tr>
    </w:tbl>
    <w:tbl>
      <w:tblPr>
        <w:tblW w:w="7491" w:type="dxa"/>
        <w:jc w:val="left"/>
        <w:tblInd w:w="0" w:type="dxa"/>
        <w:tblCellMar>
          <w:top w:w="28" w:type="dxa"/>
          <w:left w:w="28" w:type="dxa"/>
          <w:bottom w:w="28" w:type="dxa"/>
          <w:right w:w="28" w:type="dxa"/>
        </w:tblCellMar>
      </w:tblPr>
      <w:tblGrid>
        <w:gridCol w:w="124"/>
        <w:gridCol w:w="256"/>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increased our estimated probability of the completion of an initial public offering.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three months ended March 31, 2021, the fair value of ordinary shares increased from US$42.08 to US$47.71. The increase in the fair value of our ordinary shares was primarily attributable to the decreased discount rate which is in line with the strong general equity market performance and lower investors’ risk appetite during the same period, the decrease in DLOM as we gradually approach the completion of our initial public offering, and our adjusted financial forecast based on a review of our actual financial performance for the three months ended March 31, 2021.</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Subsequent to the completion of our IPO, the fair value of share-based awards were determined based on the market price of our publicly traded ADSs on the NYSE before its delisting in June 2022 and based on the quoted price of our ADSs on OTC Pink thereafter.</w:t>
      </w:r>
    </w:p>
    <w:p>
      <w:pPr>
        <w:pStyle w:val="TextBody"/>
        <w:spacing w:before="0" w:after="0"/>
        <w:ind w:left="0" w:right="0" w:firstLine="720"/>
        <w:rPr/>
      </w:pPr>
      <w:r>
        <w:rPr/>
        <w:t>​</w:t>
      </w:r>
    </w:p>
    <w:p>
      <w:pPr>
        <w:pStyle w:val="Normal"/>
        <w:spacing w:before="0" w:after="0"/>
        <w:rPr>
          <w:sz w:val="4"/>
          <w:szCs w:val="4"/>
        </w:rPr>
      </w:pPr>
      <w:r>
        <w:rPr>
          <w:sz w:val="4"/>
          <w:szCs w:val="4"/>
        </w:rPr>
      </w:r>
      <w:bookmarkStart w:id="68" w:name="Item6DirectorsSeniorManagementandEmploye"/>
      <w:bookmarkStart w:id="69" w:name="_9612ddee_2e0b_420b_91b5_2a0ef46e04dc"/>
      <w:bookmarkStart w:id="70" w:name="Item6DirectorsSeniorManagementandEmploye"/>
      <w:bookmarkStart w:id="71" w:name="_9612ddee_2e0b_420b_91b5_2a0ef46e04dc"/>
      <w:bookmarkEnd w:id="70"/>
      <w:bookmarkEnd w:id="71"/>
    </w:p>
    <w:tbl>
      <w:tblPr>
        <w:tblW w:w="4787" w:type="dxa"/>
        <w:jc w:val="left"/>
        <w:tblInd w:w="0" w:type="dxa"/>
        <w:tblCellMar>
          <w:top w:w="0" w:type="dxa"/>
          <w:left w:w="0" w:type="dxa"/>
          <w:bottom w:w="0" w:type="dxa"/>
          <w:right w:w="0" w:type="dxa"/>
        </w:tblCellMar>
      </w:tblPr>
      <w:tblGrid>
        <w:gridCol w:w="706"/>
        <w:gridCol w:w="408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6.</w:t>
            </w:r>
          </w:p>
        </w:tc>
        <w:tc>
          <w:tcPr>
            <w:tcW w:w="408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Directors, Senior Management and Employees</w:t>
            </w:r>
          </w:p>
        </w:tc>
      </w:tr>
    </w:tbl>
    <w:p>
      <w:pPr>
        <w:pStyle w:val="TextBody"/>
        <w:spacing w:before="0" w:after="18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Directors and Senior Management</w:t>
      </w:r>
    </w:p>
    <w:p>
      <w:pPr>
        <w:pStyle w:val="TextBody"/>
        <w:spacing w:before="0" w:after="180"/>
        <w:ind w:left="0" w:right="0" w:hanging="0"/>
        <w:rPr>
          <w:rFonts w:ascii="Times New Roman;Times;serif" w:hAnsi="Times New Roman;Times;serif"/>
          <w:b/>
          <w:sz w:val="20"/>
        </w:rPr>
      </w:pPr>
      <w:r>
        <w:rPr>
          <w:rFonts w:ascii="Times New Roman;Times;serif" w:hAnsi="Times New Roman;Times;serif"/>
          <w:b/>
          <w:sz w:val="20"/>
        </w:rPr>
        <w:t>DiDi Partnership</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We have established an executive partnership, the DiDi Partnership. The structure of the DiDi Partnership is designed to promote people with diverse skillsets but who share the same core values and beliefs that we hold dear.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The DiDi Partnership is operated under principles, policies and procedures that evolve with our business and encompass the following major aspects:</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Nomination and Election of Partners</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Partners will be elected annually through a nomination process, whereby any existing partner may propose candidates to a committee of the DiDi Partnership known as the Partnership Committee, which reviews the nomination and propose candidates to the entire partnership for election. Election of new partners requires the affirmative vote of at least 75% of all partners. In order to be elected a partner, the partner candidate must meet certain quality standards including, among other things, a high standard of personal character and integrity, continued service as a director, officer or employee with our company for no less than a certain period of time, a consistent commitment to our company’s mission, vision and values as well as a track record of contribution to our business, and such other standard as determined by the Partnership Committee from time to time.</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The DiDi Partnership’s major rights and functions, such as its right to appoint and remove Executive Directors to our board and its right to nominate certain executive officers, are currently effective. Actions taken by the DiDi Partnership are effective provided that the DiDi Partnership consists of no less than two limited partners and the DiDi Partnership is operating under the terms of its partnership agreement, as amended from time to time, and in accordance with the Exempted Limited Partnership Act (As Revised) of the Cayman Islands. These are known as the Partnership Conditions. There were three founding limited partners at the establishment of DiDi Partnership and they are Mr. Will Wei Cheng, Ms. Jean Qing Liu and Mr. Stephen Jingshi Zhu. We refer to these three individuals as the Founding Partners or the Core Management Members.</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Partnership Committee</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The general partner of the DiDi Partnership shall establish a Partnership Committee. The Partnership Committee may consist of no more than five partners, and all decisions of the Partnership Committee will be made by majority vote of the committee members. The current members of the Partnership Committee are Mr. Will Wei Cheng, Ms. Jean Qing Liu and Mr. Stephen Jingshi Zhu. The authority of the Partnership Committee includes, but is not limited to, the authority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annual cash bonus pool among the partners, with any amounts payable to partners who are our directors or executive officers subject to approval of the compensation committee of the board;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invest, distribute and dispose of the assets of the DiDi Partnership, including the aggregate deferred bonuses and any income thereof for the benefit of the DiDi Partnership;</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screen and initially approve the election of partners; and</w:t>
            </w:r>
          </w:p>
        </w:tc>
      </w:tr>
    </w:tbl>
    <w:tbl>
      <w:tblPr>
        <w:tblW w:w="4881" w:type="dxa"/>
        <w:jc w:val="left"/>
        <w:tblInd w:w="0" w:type="dxa"/>
        <w:tblCellMar>
          <w:top w:w="28" w:type="dxa"/>
          <w:left w:w="28" w:type="dxa"/>
          <w:bottom w:w="28" w:type="dxa"/>
          <w:right w:w="28" w:type="dxa"/>
        </w:tblCellMar>
      </w:tblPr>
      <w:tblGrid>
        <w:gridCol w:w="124"/>
        <w:gridCol w:w="256"/>
        <w:gridCol w:w="4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proposed candidates for election as a partner.</w:t>
            </w:r>
          </w:p>
        </w:tc>
      </w:tr>
    </w:tbl>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Partnership Committee members serve for a term of three years and may serve multiple terms, unless terminated upon his or her death, resignation, removal or termination of his or her membership in the partnership. Prior to each election, the Partnership Committee will nominate a number of partner candidates to stand for election by the DiDi Partnership.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Executive Director Appointment and Removal Right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DiDi Partnership is entitled to appoint and remove Executive Directors of our company. Our Executive Directors are Mr. Will Wei Cheng and Ms. Jean Qing Liu. Mr. Stephen Jingshi Zhu resigned from our board of directors in April 2023.</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An Executive Director refers to a director of our company that is (i) neither a director who satisfies the “independence” requirements of Rule 5605(a)(2) of the Nasdaq Stock Market Rules or Section 303A of the Corporate Governance Rules of the NYSE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Pursuant to our current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Executive Directors shall be nominated by the DiDi Partnership for so long as the Partnership Conditions are satisfied. Our board of directors shall cause the Executive Director candidate duly nominated by the DiDi Partnership to be appointed as an Executive Director by the board, and such Executive Director shall serve on the board until expiry of his or her term, unless removed by the shareholders by ordinary resolutions in accordance with our current articles of association, removed by the DiDi Partnership or the office is vacated upon, among other things, his or her death or resignation. Within the DiDi Partnership, nomination, appointment or removal of an Executive Director requires the affirmative vote of at least 75% of all partners.</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In the event that any such Executive Director candidate is not appointed by our board or any Executive Director nominated by the Partnership is removed by the shareholders by ordinary resolution in accordance with our current articles of association, the DiDi Partnership shall have the right to appoint a different person to serve as an interim Executive Director until the next general meeting of our company. Such appointment of the interim Executive Directors to the board shall become effective immediately upon the delivery by the DiDi Partnership of a duly executed written notice to us, without the requirement for any further resolution, vote or approval by the shareholders or the board.</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If at any time the total number of Executive Directors on our board nominated by the DiDi Partnership is less than three or such lesser number as determined by the DiDi Partnership for any reason, the DiDi Partnership shall be entitled to appoint such number of Executive Directors to our board as may be necessary to ensure that our board includes at least three Executive Directors or such lesser number as determined by the DiDi Partnership. Such appointment of the Executive Directors to our board shall become effective immediately upon the delivery by the DiDi Partnership of a duly executed written notice to us, without the requirement for any further resolution, vote or approval by the shareholders or the board.</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Executive Officers Nomination and Removal Right</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Under our current articles of association, for so long as the Partnership Conditions are satisfied, the removal of the position of CEO, President or CEO of International Business held by any Core Management Member shall be subject to unanimous approval by the Founding Partners, provided that if any such Founding Partner is no longer suitable to make such decision due to severe mental illness or severe physical incapacity which results in such Founding Partner’s inability to make decisions, convicted felony, embezzlement, or similar offense, the removal of his/her executive position is no longer subject to approval by such Founding Partner.</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Subject to the foregoing, the DiDi Partnership has the right to nominate candidates for the positions of CEO, President and CEO of International Business held by the Core Management Members. Any such candidate that has been nominated by the DiDi Partnership shall stand for appointment by the board. In the event that such candidate is not appointed by the board or the candidate is removed by the directors, the DiDi Partnership may nominate a replacement nominee until the board appoints such nominee to such executive position, or until the board fails to appoint more than three such candidates nominated by the DiDi Partnership consecutively, after which time the board may then nominate and appoint any person to serve in such executive position of our company after consultation with the DiDi Partnership. Within the DiDi Partnership, the nomination of candidates for such executive positions requires the affirmative vote of at least 75% of all partners.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Partner Termination, Retirement and Removal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Partners may elect to retire or withdraw from the DiDi Partnership at any time. All partners except Founding Partners are required to retire upon termination of their employment. Any partner may be removed upon the affirmative vote of a majority of the partners, in the event that the Partnership Committee determines that such partner fails to meet any of the qualifying standards and so recommend to the partnership.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Amendment of Partnership Agreement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Amendment of the partnership agreement requires the affirmative vote of at least 75% of all partners. The general partner of the DiDi Partnership may administer and modify the terms of the partnership agreement, but only to the extent such modifications are administrative or technical in nature that are not inconsistent with other provisions of the partnership agreement as in effect at the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Directors and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information regarding our executive officers and directors in office as of the date of this annual report.</w:t>
      </w:r>
    </w:p>
    <w:tbl>
      <w:tblPr>
        <w:tblW w:w="9040" w:type="dxa"/>
        <w:jc w:val="left"/>
        <w:tblInd w:w="0" w:type="dxa"/>
        <w:tblCellMar>
          <w:top w:w="0" w:type="dxa"/>
          <w:left w:w="0" w:type="dxa"/>
          <w:bottom w:w="0" w:type="dxa"/>
          <w:right w:w="0" w:type="dxa"/>
        </w:tblCellMar>
      </w:tblPr>
      <w:tblGrid>
        <w:gridCol w:w="2881"/>
        <w:gridCol w:w="326"/>
        <w:gridCol w:w="436"/>
        <w:gridCol w:w="326"/>
        <w:gridCol w:w="5071"/>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29435" cy="29210"/>
                      <wp:effectExtent l="0" t="0" r="0" b="0"/>
                      <wp:wrapNone/>
                      <wp:docPr id="241" name="Frame234"/>
                      <a:graphic xmlns:a="http://schemas.openxmlformats.org/drawingml/2006/main">
                        <a:graphicData uri="http://schemas.microsoft.com/office/word/2010/wordprocessingShape">
                          <wps:wsp>
                            <wps:cNvSpPr txBox="1"/>
                            <wps:spPr>
                              <a:xfrm>
                                <a:off x="0" y="0"/>
                                <a:ext cx="1829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76860" cy="29210"/>
                      <wp:effectExtent l="0" t="0" r="0" b="0"/>
                      <wp:wrapNone/>
                      <wp:docPr id="242" name="Frame235"/>
                      <a:graphic xmlns:a="http://schemas.openxmlformats.org/drawingml/2006/main">
                        <a:graphicData uri="http://schemas.microsoft.com/office/word/2010/wordprocessingShape">
                          <wps:wsp>
                            <wps:cNvSpPr txBox="1"/>
                            <wps:spPr>
                              <a:xfrm>
                                <a:off x="0" y="0"/>
                                <a:ext cx="2768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20085" cy="29210"/>
                      <wp:effectExtent l="0" t="0" r="0" b="0"/>
                      <wp:wrapNone/>
                      <wp:docPr id="243" name="Frame236"/>
                      <a:graphic xmlns:a="http://schemas.openxmlformats.org/drawingml/2006/main">
                        <a:graphicData uri="http://schemas.microsoft.com/office/word/2010/wordprocessingShape">
                          <wps:wsp>
                            <wps:cNvSpPr txBox="1"/>
                            <wps:spPr>
                              <a:xfrm>
                                <a:off x="0" y="0"/>
                                <a:ext cx="3220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881" w:type="dxa"/>
            <w:tcBorders/>
            <w:shd w:fill="auto" w:val="clear"/>
            <w:vAlign w:val="center"/>
          </w:tcPr>
          <w:p>
            <w:pPr>
              <w:pStyle w:val="TableContents"/>
              <w:pBdr>
                <w:bottom w:val="single" w:sz="2" w:space="1" w:color="000000"/>
              </w:pBdr>
              <w:spacing w:before="0" w:after="0"/>
              <w:ind w:left="0" w:right="0" w:hanging="0"/>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shd w:fill="auto" w:val="clear"/>
            <w:vAlign w:val="center"/>
          </w:tcPr>
          <w:p>
            <w:pPr>
              <w:pStyle w:val="TableContents"/>
              <w:spacing w:before="0" w:after="0"/>
              <w:ind w:left="0" w:right="0" w:hanging="0"/>
              <w:jc w:val="center"/>
              <w:rPr/>
            </w:pPr>
            <w:r>
              <w:rPr/>
              <w:t>    </w:t>
            </w:r>
          </w:p>
        </w:tc>
        <w:tc>
          <w:tcPr>
            <w:tcW w:w="5071"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Will Wei Cheng†</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w:t>
            </w:r>
          </w:p>
        </w:tc>
        <w:tc>
          <w:tcPr>
            <w:tcW w:w="50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Founder, Chairman of the Board and Chief Executive Officer</w:t>
            </w:r>
          </w:p>
        </w:tc>
      </w:tr>
      <w:tr>
        <w:trPr/>
        <w:tc>
          <w:tcPr>
            <w:tcW w:w="28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Jean Qing Liu†</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w:t>
            </w:r>
          </w:p>
        </w:tc>
        <w:tc>
          <w:tcPr>
            <w:tcW w:w="5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Co-Founder, Director and President</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Fengxia Liang</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w:t>
            </w:r>
          </w:p>
        </w:tc>
        <w:tc>
          <w:tcPr>
            <w:tcW w:w="50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Yi Zhang</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5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Zhihui Yang </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0"/>
              <w:ind w:left="0" w:right="0" w:hanging="0"/>
              <w:rPr/>
            </w:pPr>
            <w:r>
              <w:rPr/>
              <w:t>​</w:t>
            </w:r>
          </w:p>
        </w:tc>
        <w:tc>
          <w:tcPr>
            <w:tcW w:w="50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Independent Director </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Gaofei Wang</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w:t>
            </w:r>
          </w:p>
        </w:tc>
        <w:tc>
          <w:tcPr>
            <w:tcW w:w="5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Yusuo Wang</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0"/>
              <w:ind w:left="0" w:right="0" w:hanging="0"/>
              <w:rPr/>
            </w:pPr>
            <w:r>
              <w:rPr/>
              <w:t>​</w:t>
            </w:r>
          </w:p>
        </w:tc>
        <w:tc>
          <w:tcPr>
            <w:tcW w:w="50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Bob Bo Zhang</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5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Co-Founder and Chief Technology Officer</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Alan Yue Zhuo</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w:t>
            </w:r>
          </w:p>
        </w:tc>
        <w:tc>
          <w:tcPr>
            <w:tcW w:w="50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Shu Sun</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shd w:fill="auto" w:val="clear"/>
            <w:vAlign w:val="center"/>
          </w:tcPr>
          <w:p>
            <w:pPr>
              <w:pStyle w:val="TableContents"/>
              <w:spacing w:before="0" w:after="0"/>
              <w:ind w:left="0" w:right="0" w:hanging="0"/>
              <w:rPr/>
            </w:pPr>
            <w:r>
              <w:rPr/>
              <w:t>​</w:t>
            </w:r>
          </w:p>
        </w:tc>
        <w:tc>
          <w:tcPr>
            <w:tcW w:w="5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of China Ride Hailing</w:t>
            </w:r>
          </w:p>
        </w:tc>
      </w:tr>
    </w:tbl>
    <w:tbl>
      <w:tblPr>
        <w:tblW w:w="9017" w:type="dxa"/>
        <w:jc w:val="left"/>
        <w:tblInd w:w="0" w:type="dxa"/>
        <w:tblCellMar>
          <w:top w:w="0" w:type="dxa"/>
          <w:left w:w="0" w:type="dxa"/>
          <w:bottom w:w="0" w:type="dxa"/>
          <w:right w:w="0" w:type="dxa"/>
        </w:tblCellMar>
      </w:tblPr>
      <w:tblGrid>
        <w:gridCol w:w="241"/>
        <w:gridCol w:w="8776"/>
      </w:tblGrid>
      <w:tr>
        <w:trPr/>
        <w:tc>
          <w:tcPr>
            <w:tcW w:w="241" w:type="dxa"/>
            <w:tcBorders/>
            <w:shd w:fill="auto" w:val="clear"/>
            <w:vAlign w:val="center"/>
          </w:tcPr>
          <w:p>
            <w:pPr>
              <w:pStyle w:val="TableContents"/>
              <w:spacing w:before="0" w:after="240"/>
              <w:rPr/>
            </w:pPr>
            <w:r>
              <w:rPr/>
              <w:t>†</w:t>
            </w:r>
          </w:p>
        </w:tc>
        <w:tc>
          <w:tcPr>
            <w:tcW w:w="87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Mr. Will Wei Cheng and Ms. Jean Qing Liu are the Executive Directors appointed by the DiDi Partnership.</w:t>
            </w:r>
          </w:p>
        </w:tc>
      </w:tr>
    </w:tbl>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i/>
          <w:sz w:val="20"/>
        </w:rPr>
        <w:t>Mr. Will Wei Cheng </w:t>
      </w:r>
      <w:r>
        <w:rPr>
          <w:rFonts w:ascii="Times New Roman;Times;serif" w:hAnsi="Times New Roman;Times;serif"/>
          <w:sz w:val="20"/>
        </w:rPr>
        <w:t>is our founder and has served as chairman of our board of directors since January 2013 and our chief executive officer since February 2015. Mr. Cheng founded Beijing Xiaoju Science and Technology Co., Ltd. in 2012 and, shortly thereafter, launched the DiDi Dache app to provide taxi hailing services. Since then, Mr. Cheng has led us to become the world’s leading mobility technology platform, having overseen our acquisition of Kuaidi and Uber China, diversification of our service offerings and expansion around the globe. Prior to founding us, Mr. Cheng worked at Alibaba from 2005 to 2011, most recently as deputy general manager of Alipay, with responsibility for Alipay’s business-to-consumer functions, and before that, in a number of sales-related positions, including as regional manager at Alibaba. Mr. Cheng has been featured on Fortune China’s 50 Most Influential Business Leaders list for three consecutive years from 2017 to 2019. In 2017, Mr. Cheng was selected as a Global Game Changer by Forbes. In 2016, Mr. Cheng was named Fortune’s Businessperson of the Year and Forbes Asia’s Businessman of the Year. Mr. Cheng has received honors and awards such as “National Outstanding Individual in Poverty Alleviation”, “National Outstanding Individual of Private Economy Fighting against COVID-19”, “Beijing Youth ‘May 4</w:t>
      </w:r>
      <w:r>
        <w:rPr>
          <w:rFonts w:ascii="Times New Roman;Times;serif" w:hAnsi="Times New Roman;Times;serif"/>
          <w:sz w:val="15"/>
        </w:rPr>
        <w:t>th</w:t>
      </w:r>
      <w:r>
        <w:rPr>
          <w:rFonts w:ascii="Times New Roman;Times;serif" w:hAnsi="Times New Roman;Times;serif"/>
          <w:sz w:val="20"/>
        </w:rPr>
        <w:t>’ Medal” and “Beijing Outstanding Young Talent.” Mr. Cheng received a bachelor’s degree in administration management from the Beijing University of Chemical Technology in July 2004.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Ms. Jean Qing Liu </w:t>
      </w:r>
      <w:r>
        <w:rPr>
          <w:rFonts w:ascii="Times New Roman;Times;serif" w:hAnsi="Times New Roman;Times;serif"/>
          <w:sz w:val="20"/>
        </w:rPr>
        <w:t>is one of our co-founders and an executive director of our company. Ms. Liu has been serving as our director and president since December 2014. Ms. Liu also leads the DiDi Women’s Network, the first career development program for women in the Chinese internet sector. Prior to joining us in July 2014, Ms. Liu worked at Goldman Sachs (Asia) from August 2002 to June 2014. Ms. Liu was featured on Fortune’s Most Powerful Women International List from 2016 to 2020, and was named on Time’s 100 List of the World’s Most Influential People in 2017. Ms. Liu was also selected for the list of “40 Overseas Returnees in 40 Years of China’s Reform and Opening-up” in December 2018 and the list of “China’s 70 Overseas Returnees” in December 2019. Ms. Liu received a bachelor’s degree in computer science from Peking University and a master’s degree in computer science from Harvard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Ms. Fengxia Liang </w:t>
      </w:r>
      <w:r>
        <w:rPr>
          <w:rFonts w:ascii="Times New Roman;Times;serif" w:hAnsi="Times New Roman;Times;serif"/>
          <w:sz w:val="20"/>
        </w:rPr>
        <w:t>has served as our director since April 2022. Ms. Liang currently serves as Associate General Counsel of Tencent Holdings Limited, an internet company listed on the Hong Kong Stock Exchange (stock code: 00700). Ms. Liang joined Tencent in March 2008. Prior to joining Tencent, she worked at Deloitte as Senior Legal Counsel, and prior to that she practiced law at an Asian law firm specializing in M&amp;A and commercial transactions. Ms. Liang received her LLM degree from University of London and LLB degree from Fudan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Yi Zhang </w:t>
      </w:r>
      <w:r>
        <w:rPr>
          <w:rFonts w:ascii="Times New Roman;Times;serif" w:hAnsi="Times New Roman;Times;serif"/>
          <w:sz w:val="20"/>
        </w:rPr>
        <w:t>has served as our director since December 2021. Mr. Zhang joined Alibaba Group in August 2014. Mr. Zhang has been serving as senior legal director of Alibaba Group and is currently the general counsel of Alibaba Local Service Company. Prior to joining Alibaba Group, Mr. Zhang practiced law with several international law firms, such as Simpson Thatcher &amp; Bartlett. Mr. Zhang is a licensed attorney of the State of New York. Mr. Zhang received a bachelor’s degree in sociology from Renmin University of China in July 2000, a master of arts from Columbia University in May 2002, and a juris doctor degree from Cornell Law School in May 2005.</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Zhihui Yang</w:t>
      </w:r>
      <w:r>
        <w:rPr>
          <w:rFonts w:ascii="Times New Roman;Times;serif" w:hAnsi="Times New Roman;Times;serif"/>
          <w:sz w:val="20"/>
        </w:rPr>
        <w:t xml:space="preserve"> has served as our independent director since April 28, 2023. Mr. Yang currently serves as the executive president and chief financial officer of New Oriental Education and Technology Group Inc. (NYSE: EDU; HKEX: 9901). He held multiple positions since he joined New Oriental in April 2006, including vice president of finance, deputy director of president office and senior financial manager. He has served as New Oriental’s chief financial officer since April 2015 and executive president since January 2021. Prior to joining New Oriental, Mr. Yang served as the financial director of Beijing Hua De Xin Investment Co., Ltd., and worked for PricewaterhouseCoopers as a senior auditor. Mr. Yang received his bachelor’s degree in economics from Guanghua School of Management of Peking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Gaofei Wang </w:t>
      </w:r>
      <w:r>
        <w:rPr>
          <w:rFonts w:ascii="Times New Roman;Times;serif" w:hAnsi="Times New Roman;Times;serif"/>
          <w:sz w:val="20"/>
        </w:rPr>
        <w:t>has served as our independent director since June 29, 2021. Mr. Wang has served as a director and the Chief Executive Officer of Weibo Corporation since August 2020 and February 2014, respectively. Since Weibo’s inception, Mr. Wang has had various product and business development roles at Weibo and was promoted to general manager in December 2012. Mr. Wang joined SINA Corporation in August 2000 and worked in the product development department until early 2004 when he transferred to the mobile division of SINA, or SINA Mobile. He served as general manager of SINA Mobile from November 2006 to November 2012. Mr. Wang received a bachelor’s degree in computer science from Peking University and an EMBA degree from the Guanghua School of Management of Peking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Yusuo Wang</w:t>
      </w:r>
      <w:r>
        <w:rPr>
          <w:rFonts w:ascii="Times New Roman;Times;serif" w:hAnsi="Times New Roman;Times;serif"/>
          <w:sz w:val="20"/>
        </w:rPr>
        <w:t> has served as our independent director since June 29, 2021. Mr. Wang has more than 30 years of experience in the energy sector. He is the founder and chairman of the ENN Group, a conglomerate focused on vertically-integrated natural gas, clean energy and life-health offerings, with interests in China and overseas. Among the ENN Group’s publicly-listed companies, Mr. Wang serves as the chairman of ENN Natural Gas Co. Ltd., a company listed on the Shanghai Stock Exchange (600803.SH), and the chairman of ENN Energy Holdings Limited, a company listed on the Hong Kong Stock Exchange (2688.HK). Mr. Wang received a doctoral degree in management from the Tianjin University of Finance and Economics.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Bob Bo Zhang </w:t>
      </w:r>
      <w:r>
        <w:rPr>
          <w:rFonts w:ascii="Times New Roman;Times;serif" w:hAnsi="Times New Roman;Times;serif"/>
          <w:sz w:val="20"/>
        </w:rPr>
        <w:t>is one of our co-founders and our chief technology officer, and has also served as the chief executive officer of our autonomous driving business since August 2019. Mr. Zhang is responsible for the creation and development of our overall product, technology and data analytics framework. Prior to joining us, Mr. Zhang was a senior technology leader at Baidu. Mr. Zhang received a bachelor’s degree in software engineering from Wuhan University and a master’s degree focusing on human-computer interactions and artificial intelligence from the Chinese National Academy of Sciences.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Alan Yue Zhuo </w:t>
      </w:r>
      <w:r>
        <w:rPr>
          <w:rFonts w:ascii="Times New Roman;Times;serif" w:hAnsi="Times New Roman;Times;serif"/>
          <w:sz w:val="20"/>
        </w:rPr>
        <w:t>has served as our chief financial officer since April 2021 and was our vice president of finance and operation management from December 2018 to April 2021. Mr. Zhuo joined us in February 2017 as the deputy general manager of our ride hailing department, where he was responsible for platform operations. Prior to joining us, Mr. Zhuo worked at Sculptor Capital Management (formerly known as Och-Ziff Capital Management) in Hong Kong, from September 2014 to February 2017, where he focused on technology investments in Asia. Prior to that, Mr. Zhuo worked in the principal investment area of Goldman Sachs and the investment banking division of Morgan Stanley. Mr. Zhuo received a bachelor’s degree in finance from Peking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Shu Sun</w:t>
      </w:r>
      <w:r>
        <w:rPr>
          <w:rFonts w:ascii="Times New Roman;Times;serif" w:hAnsi="Times New Roman;Times;serif"/>
          <w:sz w:val="20"/>
        </w:rPr>
        <w:t> has served as the chief executive officer of our China ride hailing business since December 2020. Mr. Sun joined us in April 2015 and previously held a number of management positions, with responsibility for devising supply and demand strategies for our ride hailing business and overseeing the overall development of our Piggy Express service. Prior to joining us, Mr. Sun was an associate at Tsing Capital from 2014 to 2015 and a Senior Associate at Bloomberg New Energy Finance from 2009 to 2014. Mr. Sun received a bachelor’s degree and a master’s degree, both in industrial engineering, from the University of Cambridge.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we paid an aggregate of RMB34.8 million (US$5.1 million) in cash to our current directors and executive officers as a group. We have not set aside or accrued any amount to provide pension, retirement or other similar benefits to our executive officers and directors. Our PRC subsidiaries, the VIEs and their respective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and a housing provident fund.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entered into employment agreements with each of our senior executive officers. Under these agreements, each of our senior executive officers is employed for a specified time period. We may terminate employment for cause, at any time, without advance notice or remuneration, for certain acts of the executive officer, such as conviction or plea of guilty to a felony or any misdemeanor involving moral turpitude, willful misconduct or gross negligence, dishonest acts to our detriment, continued failure to satisfactorily perform agreed duties, or material breach of any provisions of the employment agreement. We may also terminate an officer’s employment without cause upon 60-day advance written notice. In such case of termination by us, we will provide severance payments to the executive officer as expressly required by applicable law of the jurisdiction where the executive officer is based. The executive officer may resign at any time with a 60-day advance written notice.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of the executive officers has agreed to hold, both during and after the termination or expiry of his or her employment agreement, in strict confidence and not to use, except as required in the performance of his or her duties in connection with the employment, any confidential information or trade secrets of ours, our customers or prospective customers, or the confidential or proprietary information of any third-party received by us and for which we have confidential obligations. Each of the executive officers has also agreed to disclose in confidence to us all inventions, discoveries, concepts and plans which they conceive, develop or reduce to practice during the executive officer’s employment with us and to assign all right, title and interest in them to us, and to assist us in obtaining and enforcing those patents, copyrights and other legal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each executive officer has agreed to be bound by non-competition restrictions during the term of his or her employment and for two years following the termination of employment and non-solicitation restrictions during the term of his or her employment and for one year following the termination of employment. Specifically, each executive officer has agreed not to, among other things, (i) solicit from any customer doing business with us during the employment term business of the same or of a similar nature to our business or (ii) solicit the employment or services of, or hire or engage, any person who is known to be employed or engaged by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also entered into indemnification agreements with our directors and senior executive officers. Under these agreements, we will agree to indemnify them against certain liabilities and expenses that they incur in connection with claims made by reason of their being a director or officer of our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Incentive Plans 2017 Equity 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2017, our board of directors approved the 2017 Plan, and subsequently amended it in December 2020 in order to attract and retain the best available personnel for positions of substantial responsibility, to provide additional incentives to selected employees, directors and consultants of our company and to promote the success of our business. The maximum aggregate number of ordinary shares which may be issued pursuant to all awards under the 2017 Plan is 195,127,549 shares. As of December 31, 2022, awards to purchase 42,398,865 ordinary shares that were granted under the 2017 Plan and remain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paragraphs summarize the principal terms of the 2017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Type of Awards</w:t>
      </w:r>
      <w:r>
        <w:rPr>
          <w:rFonts w:ascii="Times New Roman;Times;serif" w:hAnsi="Times New Roman;Times;serif"/>
          <w:sz w:val="20"/>
        </w:rPr>
        <w:t>. The plan permits the awards of dividend equivalent, option, restricted share, restricted share unit, share appreciation right or other right or benefit.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Our board of directors or a committee appointed by the board of directors will administer the plan. The committee or the full board of directors, as applicable, will determine, among others, the participants to receive awards, the type and number of awards to be granted to each participant, and the terms and conditions of each award granted.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Awards granted under the plan are evidenced by an award agreement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We may grant awards to our employees, directors and consultants or those of entities in which we hold a substantial economic interest or can direct management policies.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the plan administrator determines the vesting schedule, which is specified in the relevant award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Exercise of Awards</w:t>
      </w:r>
      <w:r>
        <w:rPr>
          <w:rFonts w:ascii="Times New Roman;Times;serif" w:hAnsi="Times New Roman;Times;serif"/>
          <w:sz w:val="20"/>
        </w:rPr>
        <w:t>. The plan administrator determines the exercise or purchase price, as applicable, for each award, which is stated in the relevant award agreement. Options that are vested and exercisable will terminate if they are not exercised prior to the time as the plan administrator determines at the time of grant.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Awards may not be transferred in any manner by the participant other than in accordance with the exceptions provided in the plan or the relevant award agreement or otherwise determined by the plan administrator, such as transfers by will or the laws of descent and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Termination and Amendment</w:t>
      </w:r>
      <w:r>
        <w:rPr>
          <w:rFonts w:ascii="Times New Roman;Times;serif" w:hAnsi="Times New Roman;Times;serif"/>
          <w:sz w:val="20"/>
        </w:rPr>
        <w:t>. Unless terminated earlier, the plan has a term of ten years from its effectiveness date. Our board of directors has the authority to amend, alter, or terminate the plan. However, without mutual consent between the participant and the plan administrator, no such action may materially and adversely impair the rights of any participant with respect to an outstanding award.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2021 Share 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2021, our board of directors approved the 2021 Plan, effective as of June 29, 2021, in order to attract and retain the best available personnel for positions of substantial responsibility, to provide additional incentives to selected employees, directors and consultants of our company and to promote the success and enhance the value of our company. The maximum aggregate number of ordinary shares which may be issued pursuant to all awards under the 2021 Plan is initially 116,906,908, plus, commencing no earlier than January 1, 2025, or the Commencement Year, if and when the shares reserved for issuance pursuant to any award to be granted under the 2021 Plan as of the last day of the immediately preceding fiscal year is less than 4% of the then total number of shares on an as-converted and fully diluted basis, an increase on the first day of each fiscal year from the Commencement Year during the term of the 2021 Plan, by an amount decided by our board of directors or, if authorized by the board, by the compensation committee, if and to the extent approved by the board or, if authorized by the board, by the compensation committee in such fiscal year, provided that such increase shall not result the shares reserved for issuance to exceed a percentage decided by the board of directors in the Commencement Year (which should not exceed 4%) of the then total number of shares issued and outstanding on an as-converted and fully-diluted basis on the last day of the immediately preceding fiscal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awards to purchase 24,320,959 ordinary shares that were granted under the 2021 Plan and remain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paragraphs describe the principal terms of the 2021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The 2021 Plan permits the awards of options, restricted shares, and restricted share units or other types of awards approved by our board of directors or the compensation committee.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The 2021 Plan shall be administered by our board of directors or the compensation committee, which determines, among other things, the participants eligible to receive awards, the type or types of awards to be granted to each eligible participant, the number of awards to be granted to each eligible participant, and the terms and conditions of each award grant.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Awards under the 2021 Plan are evidenced by an award agreement that set forth the terms, conditions and limitations for each award which may include the term of an award, the provisions applicable in the event the participant’s employment or service terminates, and our authority to unilaterally or bilaterally amend, modify, suspend, cancel or rescind an award.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We may grant awards to directors, consultants, and employees of our company and our related entities.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the compensation committee determines the vesting schedule, which is specified in the relevant award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Exercise of awards</w:t>
      </w:r>
      <w:r>
        <w:rPr>
          <w:rFonts w:ascii="Times New Roman;Times;serif" w:hAnsi="Times New Roman;Times;serif"/>
          <w:sz w:val="20"/>
        </w:rPr>
        <w:t>. The exercise price per share subject to an option is determined by the compensation committee and set forth in the award agreement which may be a fixed price or a variable price related to the fair market value of the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Awards may not be transferred in any manner by the eligible participant other than in accordance with the limited exceptions provided in the 2021 Plan, such as transfers to our company or a subsidiary of ours,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compensation committee or our executive officer or director authorized by the compensation committee,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compensation committee, pursuant to such conditions and procedures as the compensation committee may establish.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Termination and amendment</w:t>
      </w:r>
      <w:r>
        <w:rPr>
          <w:rFonts w:ascii="Times New Roman;Times;serif" w:hAnsi="Times New Roman;Times;serif"/>
          <w:sz w:val="20"/>
        </w:rPr>
        <w:t>. Unless terminated earlier, the 2021 Plan has a term of ten years. Our board of directors may terminate, amend or modify the 2021 Plan, subject to the limitations of applicable laws or stock exchange rules. However, no termination, amendment, or modification of the 2021 Plan may adversely affect in any material way any award previously granted pursuant to the 2021 Plan without the prior written consent of the participant.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as of December 31, 2022, the number of Class A ordinary shares under outstanding options that we granted to our directors and executive officers currently in office, excluding awards that were forfeited or cancelled after the relevant grant dates.</w:t>
      </w:r>
    </w:p>
    <w:tbl>
      <w:tblPr>
        <w:tblW w:w="8359" w:type="dxa"/>
        <w:jc w:val="left"/>
        <w:tblInd w:w="0" w:type="dxa"/>
        <w:tblCellMar>
          <w:top w:w="0" w:type="dxa"/>
          <w:left w:w="0" w:type="dxa"/>
          <w:bottom w:w="0" w:type="dxa"/>
          <w:right w:w="0" w:type="dxa"/>
        </w:tblCellMar>
      </w:tblPr>
      <w:tblGrid>
        <w:gridCol w:w="1441"/>
        <w:gridCol w:w="326"/>
        <w:gridCol w:w="1621"/>
        <w:gridCol w:w="326"/>
        <w:gridCol w:w="1126"/>
        <w:gridCol w:w="326"/>
        <w:gridCol w:w="1411"/>
        <w:gridCol w:w="326"/>
        <w:gridCol w:w="1456"/>
      </w:tblGrid>
      <w:tr>
        <w:trPr/>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15035" cy="175260"/>
                      <wp:effectExtent l="0" t="0" r="0" b="0"/>
                      <wp:wrapNone/>
                      <wp:docPr id="244" name="Frame237"/>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5"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029335" cy="175260"/>
                      <wp:effectExtent l="0" t="0" r="0" b="0"/>
                      <wp:wrapNone/>
                      <wp:docPr id="246" name="Frame239"/>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7" name="Frame2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715010" cy="175260"/>
                      <wp:effectExtent l="0" t="0" r="0" b="0"/>
                      <wp:wrapNone/>
                      <wp:docPr id="248" name="Frame241"/>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49"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95985" cy="175260"/>
                      <wp:effectExtent l="0" t="0" r="0" b="0"/>
                      <wp:wrapNone/>
                      <wp:docPr id="250" name="Frame243"/>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1"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4560" cy="175260"/>
                      <wp:effectExtent l="0" t="0" r="0" b="0"/>
                      <wp:wrapNone/>
                      <wp:docPr id="252" name="Frame245"/>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6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center"/>
              <w:rPr/>
            </w:pPr>
            <w:r>
              <w:rPr/>
              <w:t>​</w:t>
            </w:r>
          </w:p>
        </w:tc>
      </w:tr>
      <w:tr>
        <w:trPr/>
        <w:tc>
          <w:tcPr>
            <w:tcW w:w="1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pPr>
            <w:r>
              <w:rPr/>
              <w:t>​</w:t>
            </w:r>
          </w:p>
        </w:tc>
      </w:tr>
      <w:tr>
        <w:trPr/>
        <w:tc>
          <w:tcPr>
            <w:tcW w:w="14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rPr/>
            </w:pPr>
            <w:r>
              <w:rPr/>
              <w:t>​</w:t>
            </w:r>
          </w:p>
        </w:tc>
        <w:tc>
          <w:tcPr>
            <w:tcW w:w="1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shd w:fill="auto" w:val="clear"/>
            <w:vAlign w:val="center"/>
          </w:tcPr>
          <w:p>
            <w:pPr>
              <w:pStyle w:val="TableContents"/>
              <w:spacing w:before="0" w:after="0"/>
              <w:ind w:left="0" w:right="0" w:hanging="0"/>
              <w:rPr/>
            </w:pPr>
            <w:r>
              <w:rPr/>
              <w:t>    </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shd w:fill="auto" w:val="clear"/>
            <w:vAlign w:val="center"/>
          </w:tcPr>
          <w:p>
            <w:pPr>
              <w:pStyle w:val="TableContents"/>
              <w:spacing w:before="0" w:after="0"/>
              <w:ind w:left="0" w:right="0" w:hanging="0"/>
              <w:rPr/>
            </w:pPr>
            <w:r>
              <w:rPr/>
              <w:t>    </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1441" w:type="dxa"/>
            <w:tcBorders>
              <w:top w:val="single" w:sz="2" w:space="0" w:color="000000"/>
            </w:tcBorders>
            <w:shd w:fill="CCEEFF"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Will Wei Cheng</w:t>
            </w:r>
          </w:p>
        </w:tc>
        <w:tc>
          <w:tcPr>
            <w:tcW w:w="326" w:type="dxa"/>
            <w:tcBorders/>
            <w:shd w:fill="CCEEFF" w:val="clear"/>
            <w:vAlign w:val="center"/>
          </w:tcPr>
          <w:p>
            <w:pPr>
              <w:pStyle w:val="TableContents"/>
              <w:spacing w:before="0" w:after="0"/>
              <w:ind w:left="0" w:right="0" w:hanging="0"/>
              <w:rPr/>
            </w:pPr>
            <w:r>
              <w:rPr/>
              <w:t>​</w:t>
            </w:r>
          </w:p>
        </w:tc>
        <w:tc>
          <w:tcPr>
            <w:tcW w:w="162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spacing w:before="0" w:after="0"/>
              <w:ind w:left="0" w:right="0" w:hanging="0"/>
              <w:rPr/>
            </w:pPr>
            <w:r>
              <w:rPr/>
              <w:t> </w:t>
            </w:r>
          </w:p>
        </w:tc>
        <w:tc>
          <w:tcPr>
            <w:tcW w:w="14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16, 2021</w:t>
            </w:r>
          </w:p>
        </w:tc>
        <w:tc>
          <w:tcPr>
            <w:tcW w:w="326" w:type="dxa"/>
            <w:tcBorders/>
            <w:shd w:fill="CCEEFF" w:val="clear"/>
            <w:vAlign w:val="center"/>
          </w:tcPr>
          <w:p>
            <w:pPr>
              <w:pStyle w:val="TableContents"/>
              <w:spacing w:before="0" w:after="0"/>
              <w:ind w:left="0" w:right="0" w:hanging="0"/>
              <w:rPr/>
            </w:pPr>
            <w:r>
              <w:rPr/>
              <w:t> </w:t>
            </w:r>
          </w:p>
        </w:tc>
        <w:tc>
          <w:tcPr>
            <w:tcW w:w="145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16, 2031</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Jean Qing Liu</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pPr>
            <w:r>
              <w:rPr/>
              <w:t>—</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Fengxia Liang</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pPr>
            <w:r>
              <w:rPr/>
              <w:t>—</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Yi Zhang</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pPr>
            <w:r>
              <w:rPr/>
              <w:t>—</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Zhihui Yang</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pPr>
            <w:r>
              <w:rPr/>
              <w:t>—</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Gaofei Wang</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June 1, 2022</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June 1, 2032</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Yusuo Wang</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pPr>
            <w:r>
              <w:rPr/>
              <w:t>—</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Bob Bo Zhang</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2032</w:t>
            </w:r>
          </w:p>
        </w:tc>
      </w:tr>
      <w:tr>
        <w:trPr/>
        <w:tc>
          <w:tcPr>
            <w:tcW w:w="14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Alan Yue Zhuo</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2032</w:t>
            </w:r>
          </w:p>
        </w:tc>
      </w:tr>
      <w:tr>
        <w:trPr/>
        <w:tc>
          <w:tcPr>
            <w:tcW w:w="14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Shu Sun</w:t>
            </w:r>
          </w:p>
        </w:tc>
        <w:tc>
          <w:tcPr>
            <w:tcW w:w="326" w:type="dxa"/>
            <w:tcBorders/>
            <w:shd w:fill="auto" w:val="clear"/>
            <w:vAlign w:val="center"/>
          </w:tcPr>
          <w:p>
            <w:pPr>
              <w:pStyle w:val="TableContents"/>
              <w:spacing w:before="0" w:after="0"/>
              <w:ind w:left="0" w:right="0" w:hanging="0"/>
              <w:rPr/>
            </w:pPr>
            <w:r>
              <w:rPr/>
              <w:t> </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October 1, 2021</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October 1, 2031</w:t>
            </w:r>
          </w:p>
        </w:tc>
      </w:tr>
      <w:tr>
        <w:trPr/>
        <w:tc>
          <w:tcPr>
            <w:tcW w:w="1441"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April 1, 2032</w:t>
            </w:r>
          </w:p>
        </w:tc>
      </w:tr>
    </w:tbl>
    <w:tbl>
      <w:tblPr>
        <w:tblW w:w="6782" w:type="dxa"/>
        <w:jc w:val="left"/>
        <w:tblInd w:w="0" w:type="dxa"/>
        <w:tblCellMar>
          <w:top w:w="0" w:type="dxa"/>
          <w:left w:w="0" w:type="dxa"/>
          <w:bottom w:w="0" w:type="dxa"/>
          <w:right w:w="0" w:type="dxa"/>
        </w:tblCellMar>
      </w:tblPr>
      <w:tblGrid>
        <w:gridCol w:w="226"/>
        <w:gridCol w:w="6556"/>
      </w:tblGrid>
      <w:tr>
        <w:trPr/>
        <w:tc>
          <w:tcPr>
            <w:tcW w:w="226"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5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our total ordinary shares outstanding as of December 31, 2022.</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our employees and consultants, other than our directors and executive officers, as a group held options to purchase 59,873,906 Class A ordinary shares with a weighted average exercise price of US$4.2021 per share, and 2,720,204 restricted share units.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Board Practices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consists of seven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transaction,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provided that he or she has declared his interests as described above. Our directors may exercise all the powers of our company to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Committees of the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Our audit committee consists of Mr. Zhihui Yang, Mr. Gaofei Wang and Mr. Yusuo Wang, and is chaired by Mr. Zhihui Yang. Mr. Zhihui Yang, Mr. Gaofei Wang and Mr. Yusuo Wang each meet the independence standards under Rule 10A-3 under the Exchange Act. We have determined that Mr. Zhihui Yang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pre-approving all auditing and non-auditing services permitted to be performed by the independent registered public accounting firm;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bl>
    <w:tbl>
      <w:tblPr>
        <w:tblW w:w="7071" w:type="dxa"/>
        <w:jc w:val="left"/>
        <w:tblInd w:w="0" w:type="dxa"/>
        <w:tblCellMar>
          <w:top w:w="28" w:type="dxa"/>
          <w:left w:w="28" w:type="dxa"/>
          <w:bottom w:w="28" w:type="dxa"/>
          <w:right w:w="28" w:type="dxa"/>
        </w:tblCellMar>
      </w:tblPr>
      <w:tblGrid>
        <w:gridCol w:w="124"/>
        <w:gridCol w:w="256"/>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786" w:type="dxa"/>
        <w:jc w:val="left"/>
        <w:tblInd w:w="0" w:type="dxa"/>
        <w:tblCellMar>
          <w:top w:w="28" w:type="dxa"/>
          <w:left w:w="28" w:type="dxa"/>
          <w:bottom w:w="28" w:type="dxa"/>
          <w:right w:w="28" w:type="dxa"/>
        </w:tblCellMar>
      </w:tblPr>
      <w:tblGrid>
        <w:gridCol w:w="124"/>
        <w:gridCol w:w="256"/>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 and</w:t>
            </w:r>
          </w:p>
        </w:tc>
      </w:tr>
    </w:tbl>
    <w:tbl>
      <w:tblPr>
        <w:tblW w:w="3126" w:type="dxa"/>
        <w:jc w:val="left"/>
        <w:tblInd w:w="0" w:type="dxa"/>
        <w:tblCellMar>
          <w:top w:w="28" w:type="dxa"/>
          <w:left w:w="28" w:type="dxa"/>
          <w:bottom w:w="28" w:type="dxa"/>
          <w:right w:w="28" w:type="dxa"/>
        </w:tblCellMar>
      </w:tblPr>
      <w:tblGrid>
        <w:gridCol w:w="124"/>
        <w:gridCol w:w="256"/>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Our compensation committee consists of Mr. Gaofei Wang and Mr. Yusuo Wang, and is chaired by Mr. Yusuo Wang.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executive officers and making recommendations to the board with respect to it;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non-employee directors and making recommendations to the board with respect to it;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committee consists of Ms. Jean Qing Liu, Mr. Gaofei Wang and Mr. Yusuo Wang, and is chaired by Mr. Gaofei Wang. The nominating committee assists the board in selecting individuals qualified to become our directors and in determining the composition of the board and its committees. The nominating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for election or re-election to the board, or for appointment to fill any vacancy on the board;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age, skills, experience and availability of service to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the names of directors to serve as members of the audit committee and the compensation committee, as well as of the nominating committee itself;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Duties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tbl>
      <w:tblPr>
        <w:tblW w:w="3636" w:type="dxa"/>
        <w:jc w:val="left"/>
        <w:tblInd w:w="0" w:type="dxa"/>
        <w:tblCellMar>
          <w:top w:w="28" w:type="dxa"/>
          <w:left w:w="28" w:type="dxa"/>
          <w:bottom w:w="28" w:type="dxa"/>
          <w:right w:w="28" w:type="dxa"/>
        </w:tblCellMar>
      </w:tblPr>
      <w:tblGrid>
        <w:gridCol w:w="124"/>
        <w:gridCol w:w="256"/>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6096" w:type="dxa"/>
        <w:jc w:val="left"/>
        <w:tblInd w:w="0" w:type="dxa"/>
        <w:tblCellMar>
          <w:top w:w="28" w:type="dxa"/>
          <w:left w:w="28" w:type="dxa"/>
          <w:bottom w:w="28" w:type="dxa"/>
          <w:right w:w="28" w:type="dxa"/>
        </w:tblCellMar>
      </w:tblPr>
      <w:tblGrid>
        <w:gridCol w:w="124"/>
        <w:gridCol w:w="256"/>
        <w:gridCol w:w="5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906" w:type="dxa"/>
        <w:jc w:val="left"/>
        <w:tblInd w:w="0" w:type="dxa"/>
        <w:tblCellMar>
          <w:top w:w="28" w:type="dxa"/>
          <w:left w:w="28" w:type="dxa"/>
          <w:bottom w:w="28" w:type="dxa"/>
          <w:right w:w="28" w:type="dxa"/>
        </w:tblCellMar>
      </w:tblPr>
      <w:tblGrid>
        <w:gridCol w:w="124"/>
        <w:gridCol w:w="256"/>
        <w:gridCol w:w="9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register of members.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refer to “Item 10. Additional information—B. Memorandum and Articles of Association—Differences in Corporate Law” for additional information on our standard of corporate governance under Cayman Islands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Terms of Directors and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officers are elected by and serve at the discretion of the board of directors or the nominating and corporate governance committee of the board. Our directors shall serve and hold office until expiry of his or her terms or until such time as they are removed from office by ordinary resolutions of the shareholders. Pursuant to our current memorandum and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DiDi Partnership, subject to certain conditions, is also entitled to nominate and recommend the candidates for the positions of CEO, President and CEO of International Business of our company, and any such candidate nominated by the DiDi Partnership shall stand for appointment by our board. In the event that the board fails to appoint more than three such candidates nominated by the DiDi Partnership consecutively, then our board of directors may then appoint any person to serve in such executive position of our company after consultation with the DiDi Partnership. For more details, see “Item 6. Directors, Senior Management and Employees—A. Directors and Senior Management—DiDi Partnership”. Pursuant to our articles of association, a director will be removed from office automatically if, among other things, the director (i) becomes bankrupt or makes any arrangement or composition with his creditors; (ii) dies or is found to be or becomes of unsound mind; (iii) resigns his or her office by notice in writing to us; (iv) without special leave of absence from the board, is absent from meetings of the board for four consecutive meetings and the board resolves that his office be vacated; or (v) is removed from office pursuant to any other provision of our articles of association.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20,870 full-time employees as of December 31, 2022, as compared with 24,396 full-time employees as of December 31, 2021, and 15,914 full-time employees as of December 31,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number of our employees by function as of December 31, 2022:</w:t>
      </w:r>
    </w:p>
    <w:tbl>
      <w:tblPr>
        <w:tblW w:w="5126" w:type="dxa"/>
        <w:jc w:val="left"/>
        <w:tblInd w:w="0" w:type="dxa"/>
        <w:tblCellMar>
          <w:top w:w="0" w:type="dxa"/>
          <w:left w:w="0" w:type="dxa"/>
          <w:bottom w:w="0" w:type="dxa"/>
          <w:right w:w="0" w:type="dxa"/>
        </w:tblCellMar>
      </w:tblPr>
      <w:tblGrid>
        <w:gridCol w:w="2311"/>
        <w:gridCol w:w="326"/>
        <w:gridCol w:w="931"/>
        <w:gridCol w:w="326"/>
        <w:gridCol w:w="916"/>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67485" cy="175260"/>
                      <wp:effectExtent l="0" t="0" r="0" b="0"/>
                      <wp:wrapNone/>
                      <wp:docPr id="253" name="Frame246"/>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4"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1185" cy="175260"/>
                      <wp:effectExtent l="0" t="0" r="0" b="0"/>
                      <wp:wrapNone/>
                      <wp:docPr id="255" name="Frame24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6"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81660" cy="175260"/>
                      <wp:effectExtent l="0" t="0" r="0" b="0"/>
                      <wp:wrapNone/>
                      <wp:docPr id="257" name="Frame250"/>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0660" cy="175260"/>
                      <wp:effectExtent l="0" t="0" r="0" b="0"/>
                      <wp:wrapNone/>
                      <wp:docPr id="258" name="Frame25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3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8,633</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3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1,559</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31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20,870</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had 18,700 employees in China and 2,170 employees in other countries.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depends on our ability to attract, retain and motivate qualified personnel. We place great emphasis on our corporate culture to ensure that we maintain consistently high standards everywhere we operate. We primarily recruit our employees through recruitment agencies, campus recruiting, internal referrals and online channels. We supplement our employees with workers sourced through third-party staffing agencies, generally for temporary or part-time positions.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enter into employment contracts with our full-time employees which contain standard confidentiality and non-compete provisions. We generally have confidentiality provisions with the staffing agencies that provide temporary or part-time workers.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required by PRC laws and regulations, we participate in housing fund and various employee social security plans that are organized by the regional government authorities, including housing, pension, medical, work-related injury, maternity insurance and unemployment benefit plans, under which we make contributions at specified percentages of the salaries of our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2021, we founded a union at our company to represent our employees. To date, we have not experienced any labor strikes or other material labor disputes that have affected our operations. We believe that we have a good relationship with our employees.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ordinary shares as of February 28, 2023:</w:t>
      </w:r>
    </w:p>
    <w:tbl>
      <w:tblPr>
        <w:tblW w:w="5916" w:type="dxa"/>
        <w:jc w:val="left"/>
        <w:tblInd w:w="0" w:type="dxa"/>
        <w:tblCellMar>
          <w:top w:w="28" w:type="dxa"/>
          <w:left w:w="28" w:type="dxa"/>
          <w:bottom w:w="28" w:type="dxa"/>
          <w:right w:w="28" w:type="dxa"/>
        </w:tblCellMar>
      </w:tblPr>
      <w:tblGrid>
        <w:gridCol w:w="124"/>
        <w:gridCol w:w="256"/>
        <w:gridCol w:w="5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currently in office; and</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total outstanding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calculations in the table below are based on 1,214,880,130 ordinary shares outstanding as of February 28, 2023, comprising of 1,097,544,294 Class A ordinary shares (excluding 11,889,620 Class A ordinary shares repurchased by us and not yet cancelled or issued to our depositary bank for bulk issuance of ADSs reserved for future issuances upon the exercise or vesting of awards granted under our Share Incentive Plans) and 117,335,836 Class B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205" w:type="dxa"/>
        <w:jc w:val="left"/>
        <w:tblInd w:w="0" w:type="dxa"/>
        <w:tblCellMar>
          <w:top w:w="0" w:type="dxa"/>
          <w:left w:w="0" w:type="dxa"/>
          <w:bottom w:w="0" w:type="dxa"/>
          <w:right w:w="0" w:type="dxa"/>
        </w:tblCellMar>
      </w:tblPr>
      <w:tblGrid>
        <w:gridCol w:w="2025"/>
        <w:gridCol w:w="326"/>
        <w:gridCol w:w="1381"/>
        <w:gridCol w:w="332"/>
        <w:gridCol w:w="1366"/>
        <w:gridCol w:w="332"/>
        <w:gridCol w:w="1006"/>
        <w:gridCol w:w="326"/>
        <w:gridCol w:w="1441"/>
        <w:gridCol w:w="332"/>
        <w:gridCol w:w="1338"/>
      </w:tblGrid>
      <w:tr>
        <w:trPr/>
        <w:tc>
          <w:tcPr>
            <w:tcW w:w="20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85875" cy="175260"/>
                      <wp:effectExtent l="0" t="0" r="0" b="0"/>
                      <wp:wrapNone/>
                      <wp:docPr id="259" name="Frame252"/>
                      <a:graphic xmlns:a="http://schemas.openxmlformats.org/drawingml/2006/main">
                        <a:graphicData uri="http://schemas.microsoft.com/office/word/2010/wordprocessingShape">
                          <wps:wsp>
                            <wps:cNvSpPr txBox="1"/>
                            <wps:spPr>
                              <a:xfrm>
                                <a:off x="0" y="0"/>
                                <a:ext cx="1285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876935" cy="175260"/>
                      <wp:effectExtent l="0" t="0" r="0" b="0"/>
                      <wp:wrapNone/>
                      <wp:docPr id="261" name="Frame254"/>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0820" cy="175260"/>
                      <wp:effectExtent l="0" t="0" r="0" b="0"/>
                      <wp:wrapNone/>
                      <wp:docPr id="262" name="Frame255"/>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67410" cy="175260"/>
                      <wp:effectExtent l="0" t="0" r="0" b="0"/>
                      <wp:wrapNone/>
                      <wp:docPr id="263" name="Frame256"/>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0820" cy="175260"/>
                      <wp:effectExtent l="0" t="0" r="0" b="0"/>
                      <wp:wrapNone/>
                      <wp:docPr id="264" name="Frame257"/>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38810" cy="175260"/>
                      <wp:effectExtent l="0" t="0" r="0" b="0"/>
                      <wp:wrapNone/>
                      <wp:docPr id="265" name="Frame258"/>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6"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15035" cy="175260"/>
                      <wp:effectExtent l="0" t="0" r="0" b="0"/>
                      <wp:wrapNone/>
                      <wp:docPr id="267" name="Frame260"/>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0820" cy="175260"/>
                      <wp:effectExtent l="0" t="0" r="0" b="0"/>
                      <wp:wrapNone/>
                      <wp:docPr id="268" name="Frame261"/>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49630" cy="175260"/>
                      <wp:effectExtent l="0" t="0" r="0" b="0"/>
                      <wp:wrapNone/>
                      <wp:docPr id="269" name="Frame262"/>
                      <a:graphic xmlns:a="http://schemas.openxmlformats.org/drawingml/2006/main">
                        <a:graphicData uri="http://schemas.microsoft.com/office/word/2010/wordprocessingShape">
                          <wps:wsp>
                            <wps:cNvSpPr txBox="1"/>
                            <wps:spPr>
                              <a:xfrm>
                                <a:off x="0" y="0"/>
                                <a:ext cx="849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5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1" w:type="dxa"/>
            <w:tcBorders/>
            <w:shd w:fill="auto" w:val="clear"/>
            <w:vAlign w:val="center"/>
          </w:tcPr>
          <w:p>
            <w:pPr>
              <w:pStyle w:val="TableContents"/>
              <w:spacing w:before="0" w:after="0"/>
              <w:ind w:left="0" w:right="0" w:hanging="0"/>
              <w:jc w:val="center"/>
              <w:rPr/>
            </w:pPr>
            <w:r>
              <w:rPr/>
              <w:t>​</w:t>
            </w:r>
          </w:p>
        </w:tc>
        <w:tc>
          <w:tcPr>
            <w:tcW w:w="332"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pPr>
            <w:r>
              <w:rPr/>
              <w:t>​</w:t>
            </w:r>
          </w:p>
        </w:tc>
        <w:tc>
          <w:tcPr>
            <w:tcW w:w="332"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ordinary </w:t>
            </w:r>
          </w:p>
        </w:tc>
        <w:tc>
          <w:tcPr>
            <w:tcW w:w="332" w:type="dxa"/>
            <w:tcBorders/>
            <w:shd w:fill="auto" w:val="clear"/>
            <w:vAlign w:val="center"/>
          </w:tcPr>
          <w:p>
            <w:pPr>
              <w:pStyle w:val="TableContents"/>
              <w:spacing w:before="0" w:after="0"/>
              <w:ind w:left="0" w:right="0" w:hanging="0"/>
              <w:rPr/>
            </w:pPr>
            <w:r>
              <w:rPr/>
              <w:t>​</w:t>
            </w:r>
          </w:p>
        </w:tc>
        <w:tc>
          <w:tcPr>
            <w:tcW w:w="1338" w:type="dxa"/>
            <w:tcBorders/>
            <w:shd w:fill="auto" w:val="clear"/>
            <w:vAlign w:val="center"/>
          </w:tcPr>
          <w:p>
            <w:pPr>
              <w:pStyle w:val="TableContents"/>
              <w:spacing w:before="0" w:after="0"/>
              <w:ind w:left="0" w:right="0" w:hanging="0"/>
              <w:jc w:val="center"/>
              <w:rPr/>
            </w:pPr>
            <w:r>
              <w:rPr/>
              <w:t>​</w: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1" w:type="dxa"/>
            <w:tcBorders/>
            <w:shd w:fill="auto" w:val="clear"/>
            <w:vAlign w:val="center"/>
          </w:tcPr>
          <w:p>
            <w:pPr>
              <w:pStyle w:val="TableContents"/>
              <w:spacing w:before="0" w:after="0"/>
              <w:ind w:left="0" w:right="0" w:hanging="0"/>
              <w:jc w:val="center"/>
              <w:rPr/>
            </w:pPr>
            <w:r>
              <w:rPr/>
              <w:t>​</w:t>
            </w:r>
          </w:p>
        </w:tc>
        <w:tc>
          <w:tcPr>
            <w:tcW w:w="332"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pPr>
            <w:r>
              <w:rPr/>
              <w:t>​</w:t>
            </w:r>
          </w:p>
        </w:tc>
        <w:tc>
          <w:tcPr>
            <w:tcW w:w="332"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32" w:type="dxa"/>
            <w:tcBorders/>
            <w:shd w:fill="auto" w:val="clear"/>
            <w:vAlign w:val="center"/>
          </w:tcPr>
          <w:p>
            <w:pPr>
              <w:pStyle w:val="TableContents"/>
              <w:spacing w:before="0" w:after="0"/>
              <w:ind w:left="0" w:right="0" w:hanging="0"/>
              <w:rPr/>
            </w:pPr>
            <w:r>
              <w:rPr/>
              <w:t>​</w:t>
            </w:r>
          </w:p>
        </w:tc>
        <w:tc>
          <w:tcPr>
            <w:tcW w:w="1338" w:type="dxa"/>
            <w:tcBorders/>
            <w:shd w:fill="auto" w:val="clear"/>
            <w:vAlign w:val="center"/>
          </w:tcPr>
          <w:p>
            <w:pPr>
              <w:pStyle w:val="TableContents"/>
              <w:spacing w:before="0" w:after="0"/>
              <w:ind w:left="0" w:right="0" w:hanging="0"/>
              <w:jc w:val="center"/>
              <w:rPr/>
            </w:pPr>
            <w:r>
              <w:rPr/>
              <w:t>​</w: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w:t>
            </w:r>
          </w:p>
        </w:tc>
        <w:tc>
          <w:tcPr>
            <w:tcW w:w="332"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 ordinary </w:t>
            </w:r>
          </w:p>
        </w:tc>
        <w:tc>
          <w:tcPr>
            <w:tcW w:w="332"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32" w:type="dxa"/>
            <w:tcBorders/>
            <w:shd w:fill="auto" w:val="clear"/>
            <w:vAlign w:val="center"/>
          </w:tcPr>
          <w:p>
            <w:pPr>
              <w:pStyle w:val="TableContents"/>
              <w:spacing w:before="0" w:after="0"/>
              <w:ind w:left="0" w:right="0" w:hanging="0"/>
              <w:rPr/>
            </w:pPr>
            <w:r>
              <w:rPr/>
              <w:t>​</w:t>
            </w:r>
          </w:p>
        </w:tc>
        <w:tc>
          <w:tcPr>
            <w:tcW w:w="1338" w:type="dxa"/>
            <w:tcBorders/>
            <w:shd w:fill="auto" w:val="clear"/>
            <w:vAlign w:val="center"/>
          </w:tcPr>
          <w:p>
            <w:pPr>
              <w:pStyle w:val="TableContents"/>
              <w:spacing w:before="0" w:after="0"/>
              <w:ind w:left="0" w:right="0" w:hanging="0"/>
              <w:jc w:val="center"/>
              <w:rPr/>
            </w:pPr>
            <w:r>
              <w:rPr/>
              <w:t>​</w: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with an </w:t>
            </w:r>
          </w:p>
        </w:tc>
        <w:tc>
          <w:tcPr>
            <w:tcW w:w="332"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with an </w:t>
            </w:r>
          </w:p>
        </w:tc>
        <w:tc>
          <w:tcPr>
            <w:tcW w:w="332"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equity </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in terms of </w:t>
            </w:r>
          </w:p>
        </w:tc>
        <w:tc>
          <w:tcPr>
            <w:tcW w:w="332" w:type="dxa"/>
            <w:tcBorders/>
            <w:shd w:fill="auto" w:val="clear"/>
            <w:vAlign w:val="center"/>
          </w:tcPr>
          <w:p>
            <w:pPr>
              <w:pStyle w:val="TableContents"/>
              <w:spacing w:before="0" w:after="0"/>
              <w:ind w:left="0" w:right="0" w:hanging="0"/>
              <w:rPr/>
            </w:pPr>
            <w:r>
              <w:rPr/>
              <w:t>​</w:t>
            </w:r>
          </w:p>
        </w:tc>
        <w:tc>
          <w:tcPr>
            <w:tcW w:w="133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aggregate </w:t>
            </w:r>
          </w:p>
        </w:tc>
      </w:tr>
      <w:tr>
        <w:trPr/>
        <w:tc>
          <w:tcPr>
            <w:tcW w:w="20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32" w:type="dxa"/>
            <w:tcBorders/>
            <w:shd w:fill="auto" w:val="clear"/>
            <w:vAlign w:val="center"/>
          </w:tcPr>
          <w:p>
            <w:pPr>
              <w:pStyle w:val="TableContents"/>
              <w:spacing w:before="0" w:after="0"/>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32"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ownership</w:t>
            </w:r>
            <w:r>
              <w:rPr>
                <w:rFonts w:ascii="Times New Roman;Times;serif" w:hAnsi="Times New Roman;Times;serif"/>
                <w:sz w:val="16"/>
              </w:rPr>
              <w:t>†</w:t>
            </w:r>
          </w:p>
        </w:tc>
        <w:tc>
          <w:tcPr>
            <w:tcW w:w="326" w:type="dxa"/>
            <w:tcBorders/>
            <w:shd w:fill="auto" w:val="clear"/>
            <w:vAlign w:val="center"/>
          </w:tcPr>
          <w:p>
            <w:pPr>
              <w:pStyle w:val="TableContents"/>
              <w:spacing w:before="0" w:after="0"/>
              <w:ind w:left="0" w:right="0" w:hanging="0"/>
              <w:rPr/>
            </w:pPr>
            <w:r>
              <w:rPr/>
              <w:t>    </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 power</w:t>
            </w:r>
          </w:p>
        </w:tc>
        <w:tc>
          <w:tcPr>
            <w:tcW w:w="332" w:type="dxa"/>
            <w:tcBorders/>
            <w:shd w:fill="auto" w:val="clear"/>
            <w:vAlign w:val="center"/>
          </w:tcPr>
          <w:p>
            <w:pPr>
              <w:pStyle w:val="TableContents"/>
              <w:spacing w:before="0" w:after="0"/>
              <w:ind w:left="0" w:right="0" w:hanging="0"/>
              <w:rPr/>
            </w:pPr>
            <w:r>
              <w:rPr/>
              <w:t>    </w:t>
            </w:r>
          </w:p>
        </w:tc>
        <w:tc>
          <w:tcPr>
            <w:tcW w:w="1338"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voting power</w:t>
            </w:r>
            <w:r>
              <w:rPr>
                <w:rFonts w:ascii="Times New Roman;Times;serif" w:hAnsi="Times New Roman;Times;serif"/>
                <w:sz w:val="16"/>
              </w:rPr>
              <w:t>††</w:t>
            </w:r>
          </w:p>
        </w:tc>
      </w:tr>
      <w:tr>
        <w:trPr/>
        <w:tc>
          <w:tcPr>
            <w:tcW w:w="2025"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pPr>
            <w:r>
              <w:rPr/>
              <w:t>  </w:t>
            </w:r>
          </w:p>
        </w:tc>
      </w:tr>
      <w:tr>
        <w:trPr/>
        <w:tc>
          <w:tcPr>
            <w:tcW w:w="2025"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Will Wei Cheng</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78,384,741</w:t>
            </w:r>
          </w:p>
        </w:tc>
        <w:tc>
          <w:tcPr>
            <w:tcW w:w="33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117,337,851</w:t>
            </w:r>
          </w:p>
        </w:tc>
        <w:tc>
          <w:tcPr>
            <w:tcW w:w="33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3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2025"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Jean Qing Liu</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19,172,128</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74,919,775</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025"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Fengxia Liang </w:t>
            </w:r>
            <w:r>
              <w:rPr>
                <w:rFonts w:ascii="Times New Roman;Times;serif" w:hAnsi="Times New Roman;Times;serif"/>
                <w:sz w:val="15"/>
              </w:rPr>
              <w:t>(5)</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pPr>
            <w:r>
              <w:rPr/>
              <w:t>—</w:t>
            </w:r>
          </w:p>
        </w:tc>
      </w:tr>
      <w:tr>
        <w:trPr/>
        <w:tc>
          <w:tcPr>
            <w:tcW w:w="2025"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Yi Zhang</w:t>
            </w:r>
            <w:r>
              <w:rPr>
                <w:rFonts w:ascii="Times New Roman;Times;serif" w:hAnsi="Times New Roman;Times;serif"/>
                <w:sz w:val="15"/>
              </w:rPr>
              <w:t>(6)</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pPr>
            <w:r>
              <w:rPr/>
              <w:t>—</w:t>
            </w:r>
          </w:p>
        </w:tc>
      </w:tr>
      <w:tr>
        <w:trPr/>
        <w:tc>
          <w:tcPr>
            <w:tcW w:w="2025"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Zhihui Yang </w:t>
            </w:r>
            <w:r>
              <w:rPr>
                <w:rFonts w:ascii="Times New Roman;Times;serif" w:hAnsi="Times New Roman;Times;serif"/>
                <w:sz w:val="15"/>
              </w:rPr>
              <w:t>(7)</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pPr>
            <w:r>
              <w:rPr/>
              <w:t>—</w:t>
            </w:r>
          </w:p>
        </w:tc>
      </w:tr>
      <w:tr>
        <w:trPr/>
        <w:tc>
          <w:tcPr>
            <w:tcW w:w="2025"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Gaofei Wang </w:t>
            </w:r>
            <w:r>
              <w:rPr>
                <w:rFonts w:ascii="Times New Roman;Times;serif" w:hAnsi="Times New Roman;Times;serif"/>
                <w:sz w:val="15"/>
              </w:rPr>
              <w:t>(8)</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pPr>
            <w:r>
              <w:rPr/>
              <w:t>—</w:t>
            </w:r>
          </w:p>
        </w:tc>
      </w:tr>
      <w:tr>
        <w:trPr/>
        <w:tc>
          <w:tcPr>
            <w:tcW w:w="2025"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Yusuo Wang </w:t>
            </w:r>
            <w:r>
              <w:rPr>
                <w:rFonts w:ascii="Times New Roman;Times;serif" w:hAnsi="Times New Roman;Times;serif"/>
                <w:sz w:val="15"/>
              </w:rPr>
              <w:t>(9)</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pPr>
            <w:r>
              <w:rPr/>
              <w:t>—</w:t>
            </w:r>
          </w:p>
        </w:tc>
      </w:tr>
      <w:tr>
        <w:trPr/>
        <w:tc>
          <w:tcPr>
            <w:tcW w:w="2025"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Bob Bo Zhang</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(11)</w:t>
            </w:r>
            <w:r>
              <w:rPr>
                <w:rFonts w:ascii="Times New Roman;Times;serif" w:hAnsi="Times New Roman;Times;serif"/>
                <w:sz w:val="20"/>
              </w:rPr>
              <w:t>​</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25"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Alan Yue Zhuo</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(12)</w:t>
            </w:r>
            <w:r>
              <w:rPr>
                <w:rFonts w:ascii="Times New Roman;Times;serif" w:hAnsi="Times New Roman;Times;serif"/>
                <w:sz w:val="20"/>
              </w:rPr>
              <w:t>​</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25"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Shu Sun</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(13)</w:t>
            </w:r>
            <w:r>
              <w:rPr>
                <w:rFonts w:ascii="Times New Roman;Times;serif" w:hAnsi="Times New Roman;Times;serif"/>
                <w:sz w:val="20"/>
              </w:rPr>
              <w:t>​</w:t>
            </w:r>
          </w:p>
        </w:tc>
        <w:tc>
          <w:tcPr>
            <w:tcW w:w="1366"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pPr>
            <w:r>
              <w:rPr/>
              <w:t>—</w:t>
            </w:r>
          </w:p>
        </w:tc>
      </w:tr>
      <w:tr>
        <w:trPr/>
        <w:tc>
          <w:tcPr>
            <w:tcW w:w="2025"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5,607,086</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99,467,808</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169,385,118</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2025"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Principal shareholders:</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  </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pPr>
            <w:r>
              <w:rPr/>
              <w:t>  </w:t>
            </w:r>
          </w:p>
        </w:tc>
      </w:tr>
      <w:tr>
        <w:trPr/>
        <w:tc>
          <w:tcPr>
            <w:tcW w:w="2025"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Softbank Vision Fund Entity</w:t>
            </w:r>
            <w:r>
              <w:rPr>
                <w:rFonts w:ascii="Times New Roman;Times;serif" w:hAnsi="Times New Roman;Times;serif"/>
                <w:sz w:val="15"/>
              </w:rPr>
              <w:t>(14)</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242,115,016</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242,115,016</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025"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Uber Entity</w:t>
            </w:r>
            <w:r>
              <w:rPr>
                <w:rFonts w:ascii="Times New Roman;Times;serif" w:hAnsi="Times New Roman;Times;serif"/>
                <w:sz w:val="15"/>
              </w:rPr>
              <w:t>(15)</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143,911,749</w:t>
            </w:r>
          </w:p>
        </w:tc>
        <w:tc>
          <w:tcPr>
            <w:tcW w:w="332"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32"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143,911,749</w:t>
            </w:r>
          </w:p>
        </w:tc>
        <w:tc>
          <w:tcPr>
            <w:tcW w:w="332" w:type="dxa"/>
            <w:tcBorders/>
            <w:shd w:fill="CCEEFF" w:val="clear"/>
            <w:vAlign w:val="center"/>
          </w:tcPr>
          <w:p>
            <w:pPr>
              <w:pStyle w:val="TableContents"/>
              <w:spacing w:before="0" w:after="0"/>
              <w:ind w:left="0" w:right="0" w:hanging="0"/>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025"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Tencent Entities</w:t>
            </w:r>
            <w:r>
              <w:rPr>
                <w:rFonts w:ascii="Times New Roman;Times;serif" w:hAnsi="Times New Roman;Times;serif"/>
                <w:sz w:val="15"/>
              </w:rPr>
              <w:t>(16)</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78,986,858</w:t>
            </w:r>
          </w:p>
        </w:tc>
        <w:tc>
          <w:tcPr>
            <w:tcW w:w="332"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32"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78,986,858</w:t>
            </w:r>
          </w:p>
        </w:tc>
        <w:tc>
          <w:tcPr>
            <w:tcW w:w="332" w:type="dxa"/>
            <w:tcBorders/>
            <w:shd w:fill="auto" w:val="clear"/>
            <w:vAlign w:val="center"/>
          </w:tcPr>
          <w:p>
            <w:pPr>
              <w:pStyle w:val="TableContents"/>
              <w:spacing w:before="0" w:after="0"/>
              <w:ind w:left="0" w:right="0" w:hanging="0"/>
              <w:rPr/>
            </w:pPr>
            <w:r>
              <w:rPr/>
              <w:t> </w:t>
            </w:r>
          </w:p>
        </w:tc>
        <w:tc>
          <w:tcPr>
            <w:tcW w:w="1338"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Notes:</w:t>
      </w:r>
    </w:p>
    <w:tbl>
      <w:tblPr>
        <w:tblW w:w="8717" w:type="dxa"/>
        <w:jc w:val="left"/>
        <w:tblInd w:w="0" w:type="dxa"/>
        <w:tblCellMar>
          <w:top w:w="0" w:type="dxa"/>
          <w:left w:w="0" w:type="dxa"/>
          <w:bottom w:w="0" w:type="dxa"/>
          <w:right w:w="0" w:type="dxa"/>
        </w:tblCellMar>
      </w:tblPr>
      <w:tblGrid>
        <w:gridCol w:w="226"/>
        <w:gridCol w:w="849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849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Less than 1% of our total ordinary shares on an as-converted basis outstanding as of February 28, 2023.</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Except as otherwise indicated below, the business address of our directors and executive officers is DiDi Xinchenghai, Building 1, Yard 6, North Ring Road, Tangjialing, Haidian District, Beijing, People’s Republic of China.</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40"/>
              <w:rPr/>
            </w:pPr>
            <w:r>
              <w:rPr/>
              <w:t>†</w:t>
            </w:r>
          </w:p>
        </w:tc>
        <w:tc>
          <w:tcPr>
            <w:tcW w:w="996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For each person and group included in this column, percentage of equity ownership is calculated by dividing the number of shares held by such person or group and its respective affiliates by the sum of the total number of shares outstanding as of February 28, 2023.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40"/>
              <w:rPr/>
            </w:pPr>
            <w:r>
              <w:rPr/>
              <w:t>††</w:t>
            </w:r>
          </w:p>
        </w:tc>
        <w:tc>
          <w:tcPr>
            <w:tcW w:w="994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31,156,189 Class B ordinary shares held by Xiaocheng Investments Limited, and (ii) 47,228,552 Class B ordinary shares held by Steady Prominent Limited, an entity holding ordinary shares for the benefit of certain directors, executive officers and employees of our company in connection with the exercise of options granted under our Share Incentive Plans, in which Mr. Will Wei Cheng has an indirect economic interest. Xiaocheng Investment Limited is beneficially owned by Mr. Will Wei Cheng through a trust, of which Mr. Cheng is the settlor and Mr. Cheng and his family members are the beneficiaries. The registered address of Xiaocheng Investments Limited is Sertus Incorporation (BVI) Limited, Sertus Chambers, P.O. Box 905, Quastisky Building, Road Town, Tortola, British Virgin Island.</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18,693,713 Class B ordinary shares held by Xiaocheng Investments Limited that Mr. Cheng has voting power over, (ii) 22,617,576 Class A ordinary shares held by certain existing shareholders who have granted voting proxies to Mr. Cheng as of February 28, 2023, (iii) 49,874,455 Class B ordinary shares held by Steady Prominent Limited that Mr. Cheng has sole voting power over, and (iv) 26,152,107 Class A ordinary shares held by Oriental Holding Investment Limited and New Amigo Holding Limited, entities holding ordinary shares for the benefit of certain directors, executive officers and employees of our company in connection with the exercise of options granted under our Share Incentive Plans. Each of Steady Prominent Limited, Oriental Holding Investment Limited and New Amigo Holding Limited has established an advisory committee, each consisting of Mr. Cheng and Ms. Jean Qing Liu as of the date of this annual report, which has the sole power to make all decisions relating to the voting and disposal of the shares held by Steady Prominent Limited, Oriental Holding Investment Limited and New Amigo Holding Limited, as applicable. The members of the advisory committee of Steady Prominent Limited have agreed to certain voting arrangements in connection with their respective voting power over the shares held by Steady Prominent Limited. The members of the advisory committees of Oriental Holding Investment Limited and New Amigo Holding Limited share voting and disposal power over the shares held by such entities with the other members of the applicable advisory committee, and therefore may each be deemed to beneficially own, in terms of voting power, such shares. Mr. Cheng has granted a voting proxy to Ms. Jean Qing Liu in connection with ordinary shares held by Xiaocheng Investments Limited, and Mr. Cheng’s beneficial ownership does not take into account the portion of the shares that are subject to such voting proxy.</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3,055,556 Class B ordinary shares held by Investor Link Investments Limited, and (ii) 16,116,572 Class B ordinary shares held by Steady Prominent Limited in which Ms. Jean Qing Liu has an indirect economic interest. Investor Link Investments Limited is beneficially owned by Ms. Jean Qing Liu through a trust, of which Ms. Liu is the settlor and Ms. Liu and her family members are the beneficiaries. The address of Investor Link Investments Limited is Vistra Corporate Services Centre, Wickhams Cay II, Road Town, Tortola, VG1110, British Virgin Islands.</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1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3,055,556 Class B ordinary shares held by Investor Link Investments Limited, (ii) 12,462,476 Class B ordinary shares held by Xiaocheng Investments Limited that Mr. Will Wei Cheng has granted voting proxy to Ms. Liu, (iii) 33,249,636 Class B ordinary shares held by Steady Prominent Limited that Ms. Liu has sole voting power over, and (iv) 26,152,107 Class A ordinary shares held by Oriental Holding Investment Limited and New Amigo Holding Limited that Ms. Liu may be deemed to beneficially own, in terms of voting power, by virtue of her membership of the advisory committees of Oriental Holding Investment Limited and New Amigo Holding Limited, which have the sole power to make all decisions relating to the voting and disposal of the shares held by these entities. Ms. Liu shares voting and disposal rights of the shares held by Oriental Holding Investment Limited and New Amigo Holding Limited with other members of the applicable advisory committee.</w:t>
            </w:r>
          </w:p>
        </w:tc>
      </w:tr>
    </w:tbl>
    <w:tbl>
      <w:tblPr>
        <w:tblW w:w="9662" w:type="dxa"/>
        <w:jc w:val="left"/>
        <w:tblInd w:w="0" w:type="dxa"/>
        <w:tblCellMar>
          <w:top w:w="0" w:type="dxa"/>
          <w:left w:w="0" w:type="dxa"/>
          <w:bottom w:w="0" w:type="dxa"/>
          <w:right w:w="0" w:type="dxa"/>
        </w:tblCellMar>
      </w:tblPr>
      <w:tblGrid>
        <w:gridCol w:w="346"/>
        <w:gridCol w:w="931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3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Ms. Fengxia Liang is Building A, No.397 Tianlin Road, Xuhui District, Shanghai, China.</w:t>
            </w:r>
          </w:p>
        </w:tc>
      </w:tr>
    </w:tbl>
    <w:tbl>
      <w:tblPr>
        <w:tblW w:w="10205" w:type="dxa"/>
        <w:jc w:val="left"/>
        <w:tblInd w:w="0" w:type="dxa"/>
        <w:tblCellMar>
          <w:top w:w="0" w:type="dxa"/>
          <w:left w:w="0" w:type="dxa"/>
          <w:bottom w:w="0" w:type="dxa"/>
          <w:right w:w="0" w:type="dxa"/>
        </w:tblCellMar>
      </w:tblPr>
      <w:tblGrid>
        <w:gridCol w:w="343"/>
        <w:gridCol w:w="9862"/>
      </w:tblGrid>
      <w:tr>
        <w:trPr/>
        <w:tc>
          <w:tcPr>
            <w:tcW w:w="3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Yi Zhang is 26/F Tower One, Times Square, 1 Matheson Street, Causeway Bay, Hong Kong SAR.</w:t>
            </w:r>
          </w:p>
        </w:tc>
      </w:tr>
    </w:tbl>
    <w:tbl>
      <w:tblPr>
        <w:tblW w:w="8987" w:type="dxa"/>
        <w:jc w:val="left"/>
        <w:tblInd w:w="0" w:type="dxa"/>
        <w:tblCellMar>
          <w:top w:w="0" w:type="dxa"/>
          <w:left w:w="0" w:type="dxa"/>
          <w:bottom w:w="0" w:type="dxa"/>
          <w:right w:w="0" w:type="dxa"/>
        </w:tblCellMar>
      </w:tblPr>
      <w:tblGrid>
        <w:gridCol w:w="346"/>
        <w:gridCol w:w="864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8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Zhihui Yang is 9/F, No.6 Haidian Zhongjie, Haidian District, Beijing, China.</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338"/>
        <w:gridCol w:w="9867"/>
      </w:tblGrid>
      <w:tr>
        <w:trPr/>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Gaofei Wang is No.8 Sina Plaza Courtyard 10, the West XiBeiWang E.Rd, Haidian District, Beijing, China.</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Yusuo Wang is No. 38 Hongrun Rd, Economic and Technological Development Zone, Langfang City, Hebei Province, P.R. China.</w:t>
            </w:r>
          </w:p>
        </w:tc>
      </w:tr>
    </w:tbl>
    <w:tbl>
      <w:tblPr>
        <w:tblW w:w="10205" w:type="dxa"/>
        <w:jc w:val="left"/>
        <w:tblInd w:w="0" w:type="dxa"/>
        <w:tblCellMar>
          <w:top w:w="0" w:type="dxa"/>
          <w:left w:w="0" w:type="dxa"/>
          <w:bottom w:w="0" w:type="dxa"/>
          <w:right w:w="0" w:type="dxa"/>
        </w:tblCellMar>
      </w:tblPr>
      <w:tblGrid>
        <w:gridCol w:w="403"/>
        <w:gridCol w:w="9802"/>
      </w:tblGrid>
      <w:tr>
        <w:trPr/>
        <w:tc>
          <w:tcPr>
            <w:tcW w:w="40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8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Class B ordinary shares held by Steady Prominent Limited in which Mr. Bob Bo Zhang has an indirect economic interest and (ii) Class A ordinary shares held by Doctorate Investment Limited. Doctorate Investment Limited is beneficially owned by Mr. Zhang through a trust, of which Mr. Zhang and his spouse are the settlors and Mr. Zhang and his family members are the beneficiaries. The address of Doctorate Investment Limited is Craigmuir Chambers, Road Town, Tortola, VG 1110, British Virgin Islands.</w:t>
            </w:r>
          </w:p>
        </w:tc>
      </w:tr>
    </w:tbl>
    <w:tbl>
      <w:tblPr>
        <w:tblW w:w="6602" w:type="dxa"/>
        <w:jc w:val="left"/>
        <w:tblInd w:w="0" w:type="dxa"/>
        <w:tblCellMar>
          <w:top w:w="0" w:type="dxa"/>
          <w:left w:w="0" w:type="dxa"/>
          <w:bottom w:w="0" w:type="dxa"/>
          <w:right w:w="0" w:type="dxa"/>
        </w:tblCellMar>
      </w:tblPr>
      <w:tblGrid>
        <w:gridCol w:w="451"/>
        <w:gridCol w:w="6151"/>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61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by Doctorate Investment Limited.</w:t>
            </w:r>
          </w:p>
        </w:tc>
      </w:tr>
    </w:tbl>
    <w:tbl>
      <w:tblPr>
        <w:tblW w:w="10205" w:type="dxa"/>
        <w:jc w:val="left"/>
        <w:tblInd w:w="0" w:type="dxa"/>
        <w:tblCellMar>
          <w:top w:w="0" w:type="dxa"/>
          <w:left w:w="0" w:type="dxa"/>
          <w:bottom w:w="0" w:type="dxa"/>
          <w:right w:w="0" w:type="dxa"/>
        </w:tblCellMar>
      </w:tblPr>
      <w:tblGrid>
        <w:gridCol w:w="439"/>
        <w:gridCol w:w="9766"/>
      </w:tblGrid>
      <w:tr>
        <w:trPr/>
        <w:tc>
          <w:tcPr>
            <w:tcW w:w="4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97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by Oriental Holding Investment Limited in which Mr. Alan Yue Zhuo has an indirect economic interest.</w:t>
            </w:r>
          </w:p>
        </w:tc>
      </w:tr>
    </w:tbl>
    <w:tbl>
      <w:tblPr>
        <w:tblW w:w="10205" w:type="dxa"/>
        <w:jc w:val="left"/>
        <w:tblInd w:w="0" w:type="dxa"/>
        <w:tblCellMar>
          <w:top w:w="0" w:type="dxa"/>
          <w:left w:w="0" w:type="dxa"/>
          <w:bottom w:w="0" w:type="dxa"/>
          <w:right w:w="0" w:type="dxa"/>
        </w:tblCellMar>
      </w:tblPr>
      <w:tblGrid>
        <w:gridCol w:w="442"/>
        <w:gridCol w:w="9763"/>
      </w:tblGrid>
      <w:tr>
        <w:trPr/>
        <w:tc>
          <w:tcPr>
            <w:tcW w:w="4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w:t>
            </w:r>
          </w:p>
        </w:tc>
        <w:tc>
          <w:tcPr>
            <w:tcW w:w="97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by Oriental Holding Investment Limited in which Mr. Shu Sun has an indirect economic interest.</w:t>
            </w:r>
          </w:p>
        </w:tc>
      </w:tr>
    </w:tbl>
    <w:tbl>
      <w:tblPr>
        <w:tblW w:w="10205" w:type="dxa"/>
        <w:jc w:val="left"/>
        <w:tblInd w:w="0" w:type="dxa"/>
        <w:tblCellMar>
          <w:top w:w="0" w:type="dxa"/>
          <w:left w:w="0" w:type="dxa"/>
          <w:bottom w:w="0" w:type="dxa"/>
          <w:right w:w="0" w:type="dxa"/>
        </w:tblCellMar>
      </w:tblPr>
      <w:tblGrid>
        <w:gridCol w:w="398"/>
        <w:gridCol w:w="9807"/>
      </w:tblGrid>
      <w:tr>
        <w:trPr/>
        <w:tc>
          <w:tcPr>
            <w:tcW w:w="3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98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242,115,016 Class A ordinary shares held by SVF XKI Subco (Singapore) Pte. Ltd. as of December 31, 2021, as reported in a Schedule 13G filed by SB Investment Advisers (UK) Limited, Softbank Vision Fund L.P., SVF Holdings (UK) LLP, SVF Holdings (Singapore) Pte. Ltd. and SVF XKI Subco (Singapore) Pte. Ltd. on February 14, 2022. Softbank Vision Fund L.P. is the managing member of SVF Holdings (UK) LLP, which is the sole owner of SVF Holdings (Singapore) Pte. Ltd., which in turn is the sole owner of SVF XKI Subco (Singapore) Pte. Ltd. SB Investment Advisers (UK) Limited has been appointed as alternative investment fund manager of Softbank Vision Fund L.P. The registered address of SVF XKI Subco (Singapore) Pte Ltd. is 138 Market Street #27-01A, Capitagreen, Singapore.</w:t>
            </w:r>
          </w:p>
        </w:tc>
      </w:tr>
    </w:tbl>
    <w:tbl>
      <w:tblPr>
        <w:tblW w:w="10205" w:type="dxa"/>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(15)</w:t>
            </w:r>
          </w:p>
        </w:tc>
        <w:tc>
          <w:tcPr>
            <w:tcW w:w="97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143,911,749 Class A ordinary shares held by Uber International B.V. as of December 31, 2021, as reported in a Schedule 13G filed by Uber Technologies, Inc. on February 14, 2022. Uber International B.V. is wholly-owned, indirect subsidiary of Uber Technologies, Inc., a company listed on the NYSE. The registered address of Uber Technologies, Inc. is 1515 3rd Street, San Francisco, CA 94158.</w:t>
            </w:r>
          </w:p>
        </w:tc>
      </w:tr>
    </w:tbl>
    <w:tbl>
      <w:tblPr>
        <w:tblW w:w="10205" w:type="dxa"/>
        <w:jc w:val="left"/>
        <w:tblInd w:w="0" w:type="dxa"/>
        <w:tblCellMar>
          <w:top w:w="0" w:type="dxa"/>
          <w:left w:w="0" w:type="dxa"/>
          <w:bottom w:w="0" w:type="dxa"/>
          <w:right w:w="0" w:type="dxa"/>
        </w:tblCellMar>
      </w:tblPr>
      <w:tblGrid>
        <w:gridCol w:w="398"/>
        <w:gridCol w:w="9807"/>
      </w:tblGrid>
      <w:tr>
        <w:trPr/>
        <w:tc>
          <w:tcPr>
            <w:tcW w:w="3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(16)</w:t>
            </w:r>
          </w:p>
        </w:tc>
        <w:tc>
          <w:tcPr>
            <w:tcW w:w="98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75,777,780 Class A ordinary shares held by THL A11 Limited, 1,918,974 Class A ordinary shares represented by ADSs held of record by THL E Limited and 1,290,104 Class A ordinary shares held of record by Tencent Growthfund Limited as of December 31, 2022, as reported in a Schedule 13G/A filed by Tencent Holdings Limited and THL A11 Limited on February 10, 2023. Each of THL A11 Limited, THL E Limited and Tencent Growthfund Limited are controlled by Tencent Holdings Limited, a company listed on the Hong Kong Stock Exchange. The registered address of THL A11 Limited is Vistra Corporate Services Centre, Wickhams Cay II, Road Town, Tortola, VG1110, British Virgin Islands, and the registered address of Tencent Growthfund Limited is Walkers Corporate Services Limited, Walker House, 87 Mary Street, George Town, Grand Cayman KY1-9005, Cayman Islands.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February 28, 2023, we had 435,166,510 shares held by 9 record holders in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72" w:name="Item7MajorShareholdersandRelatedPartyTra"/>
      <w:bookmarkStart w:id="73" w:name="_bfb1bd08_01ee_4c00_9be5_b85712b7b967"/>
      <w:bookmarkStart w:id="74" w:name="Item7MajorShareholdersandRelatedPartyTra"/>
      <w:bookmarkStart w:id="75" w:name="_bfb1bd08_01ee_4c00_9be5_b85712b7b967"/>
      <w:bookmarkEnd w:id="74"/>
      <w:bookmarkEnd w:id="75"/>
    </w:p>
    <w:tbl>
      <w:tblPr>
        <w:tblW w:w="5297" w:type="dxa"/>
        <w:jc w:val="left"/>
        <w:tblInd w:w="0" w:type="dxa"/>
        <w:tblCellMar>
          <w:top w:w="0" w:type="dxa"/>
          <w:left w:w="0" w:type="dxa"/>
          <w:bottom w:w="0" w:type="dxa"/>
          <w:right w:w="0" w:type="dxa"/>
        </w:tblCellMar>
      </w:tblPr>
      <w:tblGrid>
        <w:gridCol w:w="706"/>
        <w:gridCol w:w="459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7.</w:t>
            </w:r>
          </w:p>
        </w:tc>
        <w:tc>
          <w:tcPr>
            <w:tcW w:w="459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Major Shareholders and Related Party Transactions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Arrangements with the VIEs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Shareholders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entered into an amended and restated shareholders agreement on August 9, 2019 with our shareholders, consisting of holders of ordinary shares and holders of our preferred shares. The amended and restated shareholders agreement provides for certain shareholders’ rights, including preemptive rights, information and inspection rights, protective provisions, and contains provisions governing our board of directors and other corporate governance matters. Except for the registration rights, all these special rights, as well as the corporate governance provisions, were automatically terminated upon the completion of initial public offering.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Registration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our current shareholders agreement, we have granted certain registration rights to our shareholders. Set forth below is a description of the registration rights granted under the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Demand Registration Rights</w:t>
      </w:r>
      <w:r>
        <w:rPr>
          <w:rFonts w:ascii="Times New Roman;Times;serif" w:hAnsi="Times New Roman;Times;serif"/>
          <w:sz w:val="20"/>
        </w:rPr>
        <w:t>. At any time following six months after the closing of our initial public offering, holders of registrable securities may request in writing that we effect the registration of the registrable securities under the Securities Act where the anticipated aggregate offering price is in excess of US$400 million. Upon such a request, we shall promptly give notice of such requested registration to all other holders of registrable securities and thereupon shall use reasonable best efforts to effect, as soon as possible, the registration under the Securities Act of (i) all registrable securities for which the requesting shareholders has requested registration and (ii) all other registrable securities as those requested to be registered by the other shareholders who requested to us in writing within 15 days after our delivery of written notice of the requested registration. We are not be obligated to effect more than a total of three demand registrations and in no event shall we be required to effect more than one demand registration within any six-month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xml:space="preserve"> If, at any time following our initial public offering, we propose to file a registration statement for a public offering of our securities under the Securities Act, we shall give each holder of the registrable securities a written notice of such registration, and upon the written request of any holder given within 15 days after the delivery of such notice, we shall use commercially reasonable efforts to effect the registration under the Securities Act of all registrable securities that have been so requested to register by all such shareholders. Holders of registrable securities may make unlimited number of requests to register registrable securities under this piggyback registration.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Form F-3 Registration Rights.</w:t>
      </w:r>
      <w:r>
        <w:rPr>
          <w:rFonts w:ascii="Times New Roman;Times;serif" w:hAnsi="Times New Roman;Times;serif"/>
          <w:sz w:val="20"/>
        </w:rPr>
        <w:t xml:space="preserve"> If we are eligible to use a Form F-3 registration statement, holders of at least 30% of our voting power of the then outstanding registrable securities have the right to demand in writing to file a registration on Form F-3. We are not obligated to effect such registration if, among other things, (i) the anticipated aggregate offering price is less than US$2 million, or (ii) we have already effected a registration in the six month period preceding the date of the request.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Expenses of Registration. </w:t>
      </w:r>
      <w:r>
        <w:rPr>
          <w:rFonts w:ascii="Times New Roman;Times;serif" w:hAnsi="Times New Roman;Times;serif"/>
          <w:sz w:val="20"/>
        </w:rPr>
        <w:t>We will bear all registration expenses, other than underwriting discounts and selling commissions, incurred in connection with any demand, piggyback or F-3 registration.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Termination of Obligations. </w:t>
      </w:r>
      <w:r>
        <w:rPr>
          <w:rFonts w:ascii="Times New Roman;Times;serif" w:hAnsi="Times New Roman;Times;serif"/>
          <w:sz w:val="20"/>
        </w:rPr>
        <w:t>The registration rights set forth above shall terminate on the earlier of (i) three years of the closing this initial public offering and (ii) with respect to the registrable securities, the date when the holder of such registrable securities may sell such registrable securities under Rule 144 of the Securities Act within a 90-day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Transactions with Our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commercial arrangements with two of our shareholders in the ordinary course of our business, namely Alibaba and its subsidiaries, which we refer to as Alibaba Group, and Tencent and its subsidiaries, which we refer to as Tencent Group.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Alibaba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commercial arrangements with Alibaba Group primarily related to ride hailing and enterprise solutions services within our China Mobility segment. The ride hailing and enterprise solutions services we provide to Alibaba Group are conducted on an arm’s length basis with similar unrelated parties. All the revenues generated from Alibaba Group within our China Mobility segment accounted for less than 0.2% of our total revenues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have commercial arrangement with Alibaba Group primarily related to cloud communication services and information technology platform services. The costs and expenses related to these services that were provided to us accounted for less than 0.3% of our total costs and expenses for the years ended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Tencent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commercial arrangements with Tencent Group primarily related to ride hailing and enterprise solutions services, online advertising services as well as licensing services. The services we provide to Tencent Group are conducted on an arm’s length basis with similar unrelated parties. All the revenues generated from Tencent Group within our China Mobility segment and our Other Initiative segment accounted for less than 0.5% of our total revenues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have commercial arrangements with Tencent Group primarily related to payment processing services, colocation services and cloud communication services. The costs and expenses related to these services that were provided to us accounted for less than 0.7% of our total costs and expenses for the years ended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SoftBank Group Corp.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SoftBank Group Corp. has made certain investments in some of our subsidiaries’ financing transactions as detailed in “Item 4. Information on the Company—A. History and Development of the Company—Subsidiary Financings”. We and SoftBank Corp. each made an accumulated investment amounting to JPY6,950 million (US$52.7 million) in Didi Mobility Japan Corporation as of December 31, 2022. The agreements for SoftBank’s investments in those financing transactions and in Didi Mobility Japan Corporation were negotiated on a fair value basis.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Transactions with Other Related Parties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our directors and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provided certain loans to our directors and executive officers prior to our initial public offering in 2021. As of December 31, 2020, 2021 and 2022, the aggregate outstanding balances of these loans were RMB65.3 million, nil and nil,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Chengxin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Revenues generated from intra-city freight and ride hailing services provided to Chengxin were RMB277 million for the year ended December 31, 2021 subsequent to Chengxin’s deconsolidation from us. The amount due from Chengxin relating to such services was RMB7 million as of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 commercial framework arrangement with Chengxin under which we procured certain services from third vendors on behalf of Chengxin and charged Chengxin based on the actual cost of services provided by third party vendors, and shared a series of services with Chengxin, including services for middle and back offices, based on reasonable actual cost of the service agreed by both us and Chengxin. The procurement was accounted for as a settlement of liabilities by us on behalf of Chengxin. The share of services was accounted for as an allocation of costs and expenses from us to Chengxin. The amount due from Chengxin and advance payment made by Chengxin under the commercial framework arrangement above amounted to RMB11 million and RMB88 million as of December 31, 2021,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described in Notes 4 and 27 to the consolidated financial statements, Chengxin’s shareholders and board resolved to distribute all of its available assets to its shareholders, in accordance with the distribution sequences outlined in the relevant agreements. As a shareholder of Chengxin, we received our share of Chengxin’s assets of RMB1.9 billion (US$0.3 billion) upon the completion of the distribution in July 2022. Prior to the distribution, our transactions with Chengxin were insignificant.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other investees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the transactions disclosed above or elsewhere in this annual report, we have commercial arrangements with certain of our investees to provide or receive technical support and other services. The amounts relating to these services provided or received represented less than 0.2% of our revenues or total costs and expenses for the years ended December 31, 2020, 2021 and 2022,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76" w:name="Item8FinancialInformation_388983"/>
      <w:bookmarkStart w:id="77" w:name="_c7f48f76_61d9_4814_9891_22abf37933f7"/>
      <w:bookmarkStart w:id="78" w:name="Item8FinancialInformation_388983"/>
      <w:bookmarkStart w:id="79" w:name="_c7f48f76_61d9_4814_9891_22abf37933f7"/>
      <w:bookmarkEnd w:id="78"/>
      <w:bookmarkEnd w:id="79"/>
    </w:p>
    <w:tbl>
      <w:tblPr>
        <w:tblW w:w="2747" w:type="dxa"/>
        <w:jc w:val="left"/>
        <w:tblInd w:w="0" w:type="dxa"/>
        <w:tblCellMar>
          <w:top w:w="0" w:type="dxa"/>
          <w:left w:w="0" w:type="dxa"/>
          <w:bottom w:w="0" w:type="dxa"/>
          <w:right w:w="0" w:type="dxa"/>
        </w:tblCellMar>
      </w:tblPr>
      <w:tblGrid>
        <w:gridCol w:w="706"/>
        <w:gridCol w:w="204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8.</w:t>
            </w:r>
          </w:p>
        </w:tc>
        <w:tc>
          <w:tcPr>
            <w:tcW w:w="20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Financial Information</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Legal and Administrative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regularly subject to various types of legal proceedings by drivers, consumers, employees, commercial partners, competitors, and government agencies, among others,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prepared for our June 30, 2021 initial public offering contained material misstatements and omissions in violation of the Securities Act of 1933, the Securities Exchange Act of 1934 and Rule 10b-5 promulgated thereunder. In September 2021, plaintiffs voluntarily dismissed all actions filed in federal court in California. On October 12, 2021, the U.S. District Court for the Southern District of New York appointed lead plaintiffs and lead counsel and consolidated the remaining federal actions under the caption In re Didi Global Inc. Securities Litigation, No. 1:21-cv-05807-LAK. Lead plaintiffs in the consolidated action filed a consolidated amended complaint on January 7, 2022. We moved to dismiss the consolidated amended complaint on March 8, 2022. In response, lead plaintiffs further amended their complaint, filing a Second Amended Complaint on May 5, 2022. On June 3, 2022, we moved to dismiss the Second Amended Complaint. The court has not yet ruled on the motion. Separately, in December 2021, we and certain of our officers and directors were named as defendants in a putative securities class action filed in state court in New York, which similarly alleges that the registration statement and prospectus prepared for our June 30, 2021 initial public offering contained material misstatements and omissions in violation of the Securities Act of 1933. On April 22, 2022, the parties stipulated to stay the state court action pending the outcome of motion to dismiss briefing in the federal action. Both the consolidated federal action and the state court action remain in their preliminary stages. We intend to vigorously defend ourselves against these claims. We cannot predict the timing, outcome or consequences of these actions, and there is no basis to conclude at this point whether such actions will be successful or whether we will be subject to any damages, let alone how much.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 2021, the Cybersecurity Review Office posted an announcement to state that we were subject to a cybersecurity review and that the Cybersecurity Review Office required us to suspend new user registration in China during the review. On July 4, 2021, the CAC posted an announcement to state that our DiDi Chuxing app collected personal information in violation of PRC laws and regulations. Pursuant to the PRC Cybersecurity Law, the CAC notified app stores to take down the DiDi Chuxing app and required us to strictly comply with relevant laws and regulations, follow the relevant standards set by the PRC government authorities, and rectify the problem to ensure the security of users’ personal information. On July 9, 2021, the CAC posted an announcement to state that it was confirmed that 25 apps that we operate in China, including the apps used by users and drivers, had the problem of collecting personal information in serious violation of relevant PRC laws and regulations. Pursuant to the PRC Cybersecurity Law, the CAC notified app stores to take down these apps, and required us to strictly comply with relevant laws and regulations, follow the relevant standards set by the PRC government authorities, and rectify the problem to ensure the security of users’ personal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PRC Cybersecurity Law, if a cyberspace operator or a cyberspace product or service provider infringes upon the legal rights of individuals’ personal information in violation of the relevant provisions under the Cybersecurity Law, it may be ordered by a competent authority to make rectifications, and may, depending on the seriousness of the case, be subject to warnings, confiscation of illegal gains, and/or monetary fines. In serious cases, the competent authority may order it to suspend relevant business, suspend business for rectification, close the website or revoke its relevant business permit or license. In addition, violation of the PRC Personal Information Protection Law may give rise to an order to rectify, warnings, confiscation of illegal gains, suspension or termination of services through the app illegally processing the personal information, monetary fines, and/or the suspension of business or revocation of business licenses or operating permits.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past year, we fully cooperated with the PRC government authorities on the cybersecurity review and rectification measures. On January 16, 2023, as approved by the Cybersecurity Review Office, we have resumed DiDi Chuxing’s registration of new users. We will continue to take effective measures to protect the safety of our platform infrastructure and security of big data, and safeguard national cybersecurity. An administrative fine of RMB8.026 billion (US$1.2 billion) was imposed for the violation of the Cybersecurity Law, Data Security Law and Personal Information Protection Law and was paid in the year ended December 31, 2022. As of the date of this annual report, our active apps have been restored to app stores and we will continue to monitor and comply with the relevant statutes and regulations on cybersecurity.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After our initial public offering in the United States, the SEC contacted us and made inquiries in relation to the offering. We are cooperating with the investigation, subject to strict compliance with applicable PRC laws and regulations. We cannot predict the timing, outcome or consequences of such an investigation.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applicable laws. In addition, our shareholders may by ordinary resolution declare a dividend, but no dividend may exceed the amount recommended by our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Except as disclosed elsewhere in this annual report, we have not experienced any significant changes since the date of our audited consolidated financial statements included in this annual report. </w:t>
      </w:r>
    </w:p>
    <w:p>
      <w:pPr>
        <w:pStyle w:val="TextBody"/>
        <w:spacing w:before="0" w:after="0"/>
        <w:ind w:left="0" w:right="0" w:firstLine="720"/>
        <w:rPr/>
      </w:pPr>
      <w:r>
        <w:rPr/>
        <w:t>​</w:t>
      </w:r>
    </w:p>
    <w:p>
      <w:pPr>
        <w:pStyle w:val="Normal"/>
        <w:spacing w:before="0" w:after="0"/>
        <w:rPr>
          <w:sz w:val="4"/>
          <w:szCs w:val="4"/>
        </w:rPr>
      </w:pPr>
      <w:r>
        <w:rPr>
          <w:sz w:val="4"/>
          <w:szCs w:val="4"/>
        </w:rPr>
      </w:r>
      <w:bookmarkStart w:id="80" w:name="Item9TheOfferandListing_802528"/>
      <w:bookmarkStart w:id="81" w:name="_b3d54611_58ab_4598_956d_aa39cff5a2dc"/>
      <w:bookmarkStart w:id="82" w:name="Item9TheOfferandListing_802528"/>
      <w:bookmarkStart w:id="83" w:name="_b3d54611_58ab_4598_956d_aa39cff5a2dc"/>
      <w:bookmarkEnd w:id="82"/>
      <w:bookmarkEnd w:id="83"/>
    </w:p>
    <w:tbl>
      <w:tblPr>
        <w:tblW w:w="2687" w:type="dxa"/>
        <w:jc w:val="left"/>
        <w:tblInd w:w="0" w:type="dxa"/>
        <w:tblCellMar>
          <w:top w:w="0" w:type="dxa"/>
          <w:left w:w="0" w:type="dxa"/>
          <w:bottom w:w="0" w:type="dxa"/>
          <w:right w:w="0" w:type="dxa"/>
        </w:tblCellMar>
      </w:tblPr>
      <w:tblGrid>
        <w:gridCol w:w="706"/>
        <w:gridCol w:w="198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9.</w:t>
            </w:r>
          </w:p>
        </w:tc>
        <w:tc>
          <w:tcPr>
            <w:tcW w:w="198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The Offer and Listing</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Offering and Listing Details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“—C. Markets.”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ADSs were listed on the NYSE on June 30, 2021 under the symbol “DIDI.” On May 23, 2022, we held an extraordinary general meeting to vote on the voluntary delisting of our ADSs from the NYSE and obtained shareholder approval. On June 13, 2022, our ADSs were delisted from the NYSE. Our ADSs have been quoted on OTC Pink under the symbol “DIDIY” since June 2022. We will continue to explore appropriate measures in the interests of our company and our shareholders, including exploring a potential listing on another internationally recognized exchange, subject to compliance with applicable rules, regulations, policies and guidance.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84" w:name="Item10AdditionalInformation_665012"/>
      <w:bookmarkStart w:id="85" w:name="_2ea2c9e0_4b83_4500_a70a_87891083762c"/>
      <w:bookmarkStart w:id="86" w:name="Item10AdditionalInformation_665012"/>
      <w:bookmarkStart w:id="87" w:name="_2ea2c9e0_4b83_4500_a70a_87891083762c"/>
      <w:bookmarkEnd w:id="86"/>
      <w:bookmarkEnd w:id="87"/>
    </w:p>
    <w:tbl>
      <w:tblPr>
        <w:tblW w:w="2942" w:type="dxa"/>
        <w:jc w:val="left"/>
        <w:tblInd w:w="0" w:type="dxa"/>
        <w:tblCellMar>
          <w:top w:w="0" w:type="dxa"/>
          <w:left w:w="0" w:type="dxa"/>
          <w:bottom w:w="0" w:type="dxa"/>
          <w:right w:w="0" w:type="dxa"/>
        </w:tblCellMar>
      </w:tblPr>
      <w:tblGrid>
        <w:gridCol w:w="811"/>
        <w:gridCol w:w="2131"/>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10.</w:t>
            </w:r>
          </w:p>
        </w:tc>
        <w:tc>
          <w:tcPr>
            <w:tcW w:w="213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Additional Information</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Memorandum and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as well as the Companies Act (As Revised) insofar as they relate to the material terms of our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Employees—C. Board Practices.”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Registered Office and Objects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registered office in the Cayman Islands is located at the offices of Maples Corporate Services Limited at PO Box 309, Ugland House, Grand Cayman, KY1-1104, Cayman Islands., or at such other location within or outside of the Cayman Islands as our directors may from time to time decide. The objects of our company are unrestricted and we have the full power and authority to carry out any object not prohibited by the Cayman Islands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shareholders have adopted the eleventh amended and restated memorandum and articles of association. The following are summaries of material provisions of the current memorandum and articles of association and of the Companies Act, insofar as they relate to the material terms of our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current memorandum and articles of association, the objects of our company are unrestricted and we have the full power and authority to carry out any object not prohibited by the Cayman Islands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Ordinary Shares</w:t>
      </w:r>
      <w:r>
        <w:rPr>
          <w:rFonts w:ascii="Times New Roman;Times;serif" w:hAnsi="Times New Roman;Times;serif"/>
          <w:sz w:val="20"/>
        </w:rPr>
        <w:t>. 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Class B ordinary shares may be converted into the same number of Class A ordinary shares by the holders thereof at any time, while Class A ordinary shares cannot be converted into Class B ordinary shares under any circumstances. Upon any sale, transfer, assignment or disposition of Class B ordinary shares by a holder thereof to any person other than the Core Management Members or a Core Management Member’s Affiliate, as defined in our current memorandum and articles of association, or upon a change of control of the ultimate beneficial ownership of any Class B ordinary share to any person who is not a Core Management Member or a Core Management Member’s Affiliate, such Class B ordinary shares shall be automatically and immediately converted into the same number of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Our directors may from time to time declare dividends (including interim dividends) and other distributions on our shares in issue and authorize payment of the same out of the funds of our company lawfully available therefor. In addition, our shareholders may declare dividends by ordinary resolution, but no dividend shall exceed the amount recommended by our directors. Our current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Holders of Class A ordinary shares and Class B ordinary shares shall, at all times, vote together as one class on all matters submitted to a vote by the members at any general meeting of our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shareholder holding not less than 10% of the votes attaching to the shares present in person or by proxy.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A special resolution will be required for important matters such as a change of name or making changes to our current memorandum and articles of association. Our current memorandum and articles of association provide that in respect of any resolution relating to a Special Partnership Matter, or which in any way affects a Special Partnership Matter, including any amendment to any provision of our memorandum or articles of association which relates to a Special Partnership Matter, must be approved as a special resolution, and that for these purposes a special resolution requires the affirmative vote of no less than 95% of votes cast by our shareholders at a general meeting. A “Special Partnership Matter” includes, among other things, for so long as the Partnership Condition is satisfied, (i) the rights of the DiDi Partnership to appoint and remove our Executive Directors and to nominate and recommend candidates for certain executive officer positions of our company as described under “Item 6. Directors, Senior Management and Employees—A. Directors and Senior Management—DiDi Partnership,” and (ii) the procedures regarding the election, appointment and removal of directors. Our shareholders may, among other things, sub-divide or consolidate our share capital by ordinary resolution.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we are not obliged by the Companies Act to call shareholders’ annual general meetings. Our current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consists of at least one shareholder present in person or by proxy, holding shares which carry in aggregate not less than one-third of all votes attaching to the issued and outstanding shares of our company entitled to vote at such general meeting.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current memorandum and articles of association do not provide our shareholders with any right to put any proposals before annual general meetings or extraordinary general meetings not called by such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Transfer of Ordinary Shares</w:t>
      </w:r>
      <w:r>
        <w:rPr>
          <w:rFonts w:ascii="Times New Roman;Times;serif" w:hAnsi="Times New Roman;Times;serif"/>
          <w:sz w:val="20"/>
        </w:rPr>
        <w:t>. Subject to the restrictions set out in our current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CellMar>
          <w:top w:w="28" w:type="dxa"/>
          <w:left w:w="28" w:type="dxa"/>
          <w:bottom w:w="28" w:type="dxa"/>
          <w:right w:w="28" w:type="dxa"/>
        </w:tblCellMar>
      </w:tblPr>
      <w:tblGrid>
        <w:gridCol w:w="124"/>
        <w:gridCol w:w="256"/>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sum as our directors may from time to time require is paid to us in respect thereof.</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registration of transfers may be suspended and our register of members (shareholders) closed at such times and for such periods as our board of directors may from time to time determine, provided, however, that the registration of transfers shall not be suspended nor the register of members closed for more than 30 calendar days in any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of these shares, on such terms and in such manner as may be determined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Whenever the capital of our company is divided into different classes of shares, the rights attached to any such class may, subject to any rights or restrictions attached to any class, be materially adversely varied with the consent in writing of the holders of two-thirds of the issued shares of that class or with the sanction of a special resolution passed at a separate meeting of the holders of the shares of that class. The rights attached to or otherwise conferred upon the holders of the shares of any class issued with preferred or other rights shall not, subject to any rights or restrictions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Issuance of Additional Shares</w:t>
      </w:r>
      <w:r>
        <w:rPr>
          <w:rFonts w:ascii="Times New Roman;Times;serif" w:hAnsi="Times New Roman;Times;serif"/>
          <w:sz w:val="20"/>
        </w:rPr>
        <w:t>. Our current memorandum and articles of association authorize our board of directors to issue additional shares from time to time as our board of directors shall determine, to the extent of available authorized but unissued shares, without the need for any approval or consent from our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current memorandum and articles of association also authorize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tbl>
      <w:tblPr>
        <w:tblW w:w="2856" w:type="dxa"/>
        <w:jc w:val="left"/>
        <w:tblInd w:w="0" w:type="dxa"/>
        <w:tblCellMar>
          <w:top w:w="28" w:type="dxa"/>
          <w:left w:w="28" w:type="dxa"/>
          <w:bottom w:w="28" w:type="dxa"/>
          <w:right w:w="28" w:type="dxa"/>
        </w:tblCellMar>
      </w:tblPr>
      <w:tblGrid>
        <w:gridCol w:w="124"/>
        <w:gridCol w:w="256"/>
        <w:gridCol w:w="2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CellMar>
          <w:top w:w="28" w:type="dxa"/>
          <w:left w:w="28" w:type="dxa"/>
          <w:bottom w:w="28" w:type="dxa"/>
          <w:right w:w="28" w:type="dxa"/>
        </w:tblCellMar>
      </w:tblPr>
      <w:tblGrid>
        <w:gridCol w:w="124"/>
        <w:gridCol w:w="256"/>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366" w:type="dxa"/>
        <w:jc w:val="left"/>
        <w:tblInd w:w="0" w:type="dxa"/>
        <w:tblCellMar>
          <w:top w:w="28" w:type="dxa"/>
          <w:left w:w="28" w:type="dxa"/>
          <w:bottom w:w="28" w:type="dxa"/>
          <w:right w:w="28" w:type="dxa"/>
        </w:tblCellMar>
      </w:tblPr>
      <w:tblGrid>
        <w:gridCol w:w="124"/>
        <w:gridCol w:w="25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or obtain copies of our list of shareholders or our corporate records (other than our memorandum and articles of association, special resolutions of our shareholders, our register of mortgages and charges, and a list of our current directors). However, we will provide our shareholders with annual audited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current memorandum and articles of association may discourage, delay or prevent a change of control of our company or management that shareholders may consider favorable, including provisions that: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 memorandum and articles of association for a proper purpose and for what they believe in good faith to be in the best interests of our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Exempted Company</w:t>
      </w:r>
      <w:r>
        <w:rPr>
          <w:rFonts w:ascii="Times New Roman;Times;serif" w:hAnsi="Times New Roman;Times;serif"/>
          <w:sz w:val="20"/>
        </w:rPr>
        <w:t>. 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tbl>
      <w:tblPr>
        <w:tblW w:w="8841" w:type="dxa"/>
        <w:jc w:val="left"/>
        <w:tblInd w:w="0" w:type="dxa"/>
        <w:tblCellMar>
          <w:top w:w="28" w:type="dxa"/>
          <w:left w:w="28" w:type="dxa"/>
          <w:bottom w:w="28" w:type="dxa"/>
          <w:right w:w="28" w:type="dxa"/>
        </w:tblCellMar>
      </w:tblPr>
      <w:tblGrid>
        <w:gridCol w:w="124"/>
        <w:gridCol w:w="256"/>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CellMar>
          <w:top w:w="28" w:type="dxa"/>
          <w:left w:w="28" w:type="dxa"/>
          <w:bottom w:w="28" w:type="dxa"/>
          <w:right w:w="28" w:type="dxa"/>
        </w:tblCellMar>
      </w:tblPr>
      <w:tblGrid>
        <w:gridCol w:w="124"/>
        <w:gridCol w:w="256"/>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spacing w:before="0" w:after="240"/>
        <w:ind w:left="0" w:right="0" w:firstLine="720"/>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Exclusive Forum</w:t>
      </w:r>
      <w:r>
        <w:rPr>
          <w:rFonts w:ascii="Times New Roman;Times;serif" w:hAnsi="Times New Roman;Times;serif"/>
          <w:sz w:val="20"/>
        </w:rPr>
        <w:t>.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provision of our current memorandum and articles of association. Without prejudice to the foregoing, if the provision in this article is held to be illegal, invalid or unenforceable under applicable law, the legality, validity or enforceability of the rest of our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Differences in Corporate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Companies Act of the Cayman Islands is modeled after, to a large extent, the older Companies Acts of England but does not follow recent English statutory enactments.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306" w:type="dxa"/>
        <w:jc w:val="left"/>
        <w:tblInd w:w="0" w:type="dxa"/>
        <w:tblCellMar>
          <w:top w:w="28" w:type="dxa"/>
          <w:left w:w="28" w:type="dxa"/>
          <w:bottom w:w="28" w:type="dxa"/>
          <w:right w:w="28" w:type="dxa"/>
        </w:tblCellMar>
      </w:tblPr>
      <w:tblGrid>
        <w:gridCol w:w="124"/>
        <w:gridCol w:w="256"/>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w:t>
      </w:r>
    </w:p>
    <w:tbl>
      <w:tblPr>
        <w:tblW w:w="8451" w:type="dxa"/>
        <w:jc w:val="left"/>
        <w:tblInd w:w="0" w:type="dxa"/>
        <w:tblCellMar>
          <w:top w:w="28" w:type="dxa"/>
          <w:left w:w="28" w:type="dxa"/>
          <w:bottom w:w="28" w:type="dxa"/>
          <w:right w:w="28" w:type="dxa"/>
        </w:tblCellMar>
      </w:tblPr>
      <w:tblGrid>
        <w:gridCol w:w="124"/>
        <w:gridCol w:w="256"/>
        <w:gridCol w:w="8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is illegal or ultra vires (and is therefore incapable of ratification by the shareholders);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although not ultra vires, could only be effected duly if authorized by a qualified (or special) majority (i.e. more than a simple majority) vote that has not been obtained; and</w:t>
            </w:r>
          </w:p>
        </w:tc>
      </w:tr>
    </w:tbl>
    <w:tbl>
      <w:tblPr>
        <w:tblW w:w="7956" w:type="dxa"/>
        <w:jc w:val="left"/>
        <w:tblInd w:w="0" w:type="dxa"/>
        <w:tblCellMar>
          <w:top w:w="28" w:type="dxa"/>
          <w:left w:w="28" w:type="dxa"/>
          <w:bottom w:w="28" w:type="dxa"/>
          <w:right w:w="28" w:type="dxa"/>
        </w:tblCellMar>
      </w:tblPr>
      <w:tblGrid>
        <w:gridCol w:w="124"/>
        <w:gridCol w:w="25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where those who control the company are perpetrating a “fraud against the minority.”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Indemnification of Directors and Executive Officers and Limitation of Liability</w:t>
      </w:r>
      <w:r>
        <w:rPr>
          <w:rFonts w:ascii="Times New Roman;Times;serif" w:hAnsi="Times New Roman;Times;serif"/>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current memorandum and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Directors’ Fiduciary Duties</w:t>
      </w:r>
      <w:r>
        <w:rPr>
          <w:rFonts w:ascii="Times New Roman;Times;serif" w:hAnsi="Times New Roman;Times;serif"/>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Shareholder Action by Written Consent</w:t>
      </w:r>
      <w:r>
        <w:rPr>
          <w:rFonts w:ascii="Times New Roman;Times;serif" w:hAnsi="Times New Roman;Times;serif"/>
          <w:sz w:val="20"/>
        </w:rPr>
        <w:t>. Under the Delaware General Corporation Law, a corporation may eliminate the right of shareholders to act by written consent by amendment to its certificate of incorporation.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Cayman Islands law and our current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Shareholder Proposals</w:t>
      </w:r>
      <w:r>
        <w:rPr>
          <w:rFonts w:ascii="Times New Roman;Times;serif" w:hAnsi="Times New Roman;Times;serif"/>
          <w:sz w:val="20"/>
        </w:rPr>
        <w:t>.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any one or more of our shareholders holding shares which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Cumulative Voting</w:t>
      </w:r>
      <w:r>
        <w:rPr>
          <w:rFonts w:ascii="Times New Roman;Times;serif" w:hAnsi="Times New Roman;Times;serif"/>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memorandum and articles of association do not provide for cumulative voting. As a result, our shareholders are not afforded any less protections or rights on this issue than shareholders of a Delaware corporation.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Removal of Directors</w:t>
      </w:r>
      <w:r>
        <w:rPr>
          <w:rFonts w:ascii="Times New Roman;Times;serif" w:hAnsi="Times New Roman;Times;serif"/>
          <w:sz w:val="20"/>
        </w:rPr>
        <w:t>. 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current memorandum and articles of association, directors may be removed with or without cause, by an ordinary resolution of our shareholders. An appointment of a director may be for such term of office as may be agreed between our company and the director;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 (iv) without special leave of absence from our board, is absent from meetings of our board for four consecutive meetings and our board resolves that his office be vacated; or (v) is removed from office pursuant to any other provision of our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Transactions with Interested Shareholders</w:t>
      </w:r>
      <w:r>
        <w:rPr>
          <w:rFonts w:ascii="Times New Roman;Times;serif" w:hAnsi="Times New Roman;Times;serif"/>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Restructuring.</w:t>
      </w:r>
      <w:r>
        <w:rPr>
          <w:rFonts w:ascii="Times New Roman;Times;serif" w:hAnsi="Times New Roman;Times;serif"/>
          <w:sz w:val="20"/>
        </w:rPr>
        <w:t xml:space="preserve"> A company may present a petition to the Grand Court of the Cayman Islands for the appointment of a restructuring officer on the grounds that the company:</w:t>
      </w:r>
    </w:p>
    <w:tbl>
      <w:tblPr>
        <w:tblW w:w="4851" w:type="dxa"/>
        <w:jc w:val="left"/>
        <w:tblInd w:w="0" w:type="dxa"/>
        <w:tblCellMar>
          <w:top w:w="28" w:type="dxa"/>
          <w:left w:w="28" w:type="dxa"/>
          <w:bottom w:w="28" w:type="dxa"/>
          <w:right w:w="28" w:type="dxa"/>
        </w:tblCellMar>
      </w:tblPr>
      <w:tblGrid>
        <w:gridCol w:w="124"/>
        <w:gridCol w:w="31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or is likely to become unable to pay its debts; and </w:t>
            </w:r>
          </w:p>
        </w:tc>
      </w:tr>
    </w:tbl>
    <w:tbl>
      <w:tblPr>
        <w:tblW w:w="10205" w:type="dxa"/>
        <w:jc w:val="left"/>
        <w:tblInd w:w="0" w:type="dxa"/>
        <w:tblCellMar>
          <w:top w:w="28" w:type="dxa"/>
          <w:left w:w="28" w:type="dxa"/>
          <w:bottom w:w="28" w:type="dxa"/>
          <w:right w:w="28" w:type="dxa"/>
        </w:tblCellMar>
      </w:tblPr>
      <w:tblGrid>
        <w:gridCol w:w="124"/>
        <w:gridCol w:w="307"/>
        <w:gridCol w:w="9774"/>
      </w:tblGrid>
      <w:tr>
        <w:trPr/>
        <w:tc>
          <w:tcPr>
            <w:tcW w:w="12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77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intends to present a compromise or arrangement to its creditors (or classes thereof) either pursuant to the Companies Act, the law of a foreign country or by way of a consensual restructuring.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Dissolution; Winding up</w:t>
      </w:r>
      <w:r>
        <w:rPr>
          <w:rFonts w:ascii="Times New Roman;Times;serif" w:hAnsi="Times New Roman;Times;serif"/>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Under the Companies Act, a Cayman Islands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Variation of Rights of Shares</w:t>
      </w:r>
      <w:r>
        <w:rPr>
          <w:rFonts w:ascii="Times New Roman;Times;serif" w:hAnsi="Times New Roman;Times;serif"/>
          <w:sz w:val="20"/>
        </w:rPr>
        <w:t>. Under the Delaware General Corporation Law, a corporation may vary the rights of a class of shares with the approval of a majority of the outstanding shares of such class, unless the certificate of incorporation provides otherwise. Under our current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Amendment of Governing Documents</w:t>
      </w:r>
      <w:r>
        <w:rPr>
          <w:rFonts w:ascii="Times New Roman;Times;serif" w:hAnsi="Times New Roman;Times;serif"/>
          <w:sz w:val="20"/>
        </w:rPr>
        <w:t>. Under the Delaware General Corporation Law, a corporation’s governing documents may be amended with the approval of a majority of the outstanding shares entitled to vote, unless the certificate of incorporation provides otherwise. Under the Companies Act and our current memorandum and articles of association, our memorandum and articles of association may only be amended by a special resolution of our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Rights of Non-resident or Foreign Shareholders</w:t>
      </w:r>
      <w:r>
        <w:rPr>
          <w:rFonts w:ascii="Times New Roman;Times;serif" w:hAnsi="Times New Roman;Times;serif"/>
          <w:sz w:val="20"/>
        </w:rPr>
        <w:t>. There are no limitations imposed by our current memorandum and articles of association on the 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Company—B. Business Overview—Regulation—Regulations Relating to Foreign Exchange.”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summary of material Cayman Islands, PRC and U.S. federal income tax consequences of an investment in our ADSs or Class A ordinary shares is based upon laws and relevant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Cayman Islands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holders of the ADSs or our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no exchange control regulations or currency restrictions in the Cayman Islands.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Payments of dividends and capital in respect of our shares will not be subject to taxation in the Cayman Islands and no withholding will be required on the payment of a dividend or capital to any holder of the shares, nor will gains derived from the disposal of our shares be subject to Cayman Islands income or corporate tax. To the extent that the discussion under “—Cayman Islands Taxation” relates to matters of Cayman Islands law, it represents the opinion of Maples and Calder (Hong Kong) LLP, our counsel as to Cayman Islands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People’s Republic of China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we are incorporated in the Cayman Islands, we may be treated as a PRC resident enterprise for PRC tax purposes under the Enterprise Income Tax Law. Under the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implementing rules of the Enterprise Income Tax Law merely define the “de facto management body” as the “organizational body which effectively manages and controls the production and business operation, personnel, accounting, properties and other aspects of operations of an enterprise.” Based on a review of the facts and circumstances, we do not believe that DiDi Global Inc. or any of our subsidiaries in the Cayman Islands, the British Virgin Islands or Hong Kong should be considered a PRC resident enterprise for PRC tax purposes. However, the tax resident status of an enterprise is subject to determination by the PRC tax authorities. If DiDi Global Inc. were to be considered a PRC resident enterprise, then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See “Item 3. Key Information—D. Risk Factors—Risks Relating to Our Business and Industry—If we are classified as a PRC resident enterprise for PRC income tax purposes, such classification could result in unfavorable tax consequences to us and our non-PRC shareholders or ADS holders.” To the extent that the discussion in this paragraph relates to matters of PRC tax law, it represents the opinion of Fangda Partners, our PRC legal counsel.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United States Federal Income Tax Considerations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ordinary shares by a U.S. Holder (as defined below) that holds our ADSs or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Internal Revenue Service or a court will not take a contrary position. This discussion, moreover, does not address the U.S. federal estate, gift or other non-income tax considerations, minimum tax, the Medicare tax on certain net investment income, or any state, local or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tbl>
      <w:tblPr>
        <w:tblW w:w="3621" w:type="dxa"/>
        <w:jc w:val="left"/>
        <w:tblInd w:w="0" w:type="dxa"/>
        <w:tblCellMar>
          <w:top w:w="28" w:type="dxa"/>
          <w:left w:w="28" w:type="dxa"/>
          <w:bottom w:w="28" w:type="dxa"/>
          <w:right w:w="28" w:type="dxa"/>
        </w:tblCellMar>
      </w:tblPr>
      <w:tblGrid>
        <w:gridCol w:w="124"/>
        <w:gridCol w:w="256"/>
        <w:gridCol w:w="3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CellMar>
          <w:top w:w="28" w:type="dxa"/>
          <w:left w:w="28" w:type="dxa"/>
          <w:bottom w:w="28" w:type="dxa"/>
          <w:right w:w="28" w:type="dxa"/>
        </w:tblCellMar>
      </w:tblPr>
      <w:tblGrid>
        <w:gridCol w:w="124"/>
        <w:gridCol w:w="256"/>
        <w:gridCol w:w="1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3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CellMar>
          <w:top w:w="28" w:type="dxa"/>
          <w:left w:w="28" w:type="dxa"/>
          <w:bottom w:w="28" w:type="dxa"/>
          <w:right w:w="28" w:type="dxa"/>
        </w:tblCellMar>
      </w:tblPr>
      <w:tblGrid>
        <w:gridCol w:w="124"/>
        <w:gridCol w:w="256"/>
        <w:gridCol w:w="1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CellMar>
          <w:top w:w="28" w:type="dxa"/>
          <w:left w:w="28" w:type="dxa"/>
          <w:bottom w:w="28" w:type="dxa"/>
          <w:right w:w="28" w:type="dxa"/>
        </w:tblCellMar>
      </w:tblPr>
      <w:tblGrid>
        <w:gridCol w:w="124"/>
        <w:gridCol w:w="256"/>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746" w:type="dxa"/>
        <w:jc w:val="left"/>
        <w:tblInd w:w="0" w:type="dxa"/>
        <w:tblCellMar>
          <w:top w:w="28" w:type="dxa"/>
          <w:left w:w="28" w:type="dxa"/>
          <w:bottom w:w="28" w:type="dxa"/>
          <w:right w:w="28" w:type="dxa"/>
        </w:tblCellMar>
      </w:tblPr>
      <w:tblGrid>
        <w:gridCol w:w="124"/>
        <w:gridCol w:w="256"/>
        <w:gridCol w:w="1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706" w:type="dxa"/>
        <w:jc w:val="left"/>
        <w:tblInd w:w="0" w:type="dxa"/>
        <w:tblCellMar>
          <w:top w:w="28" w:type="dxa"/>
          <w:left w:w="28" w:type="dxa"/>
          <w:bottom w:w="28" w:type="dxa"/>
          <w:right w:w="28" w:type="dxa"/>
        </w:tblCellMar>
      </w:tblPr>
      <w:tblGrid>
        <w:gridCol w:w="124"/>
        <w:gridCol w:w="256"/>
        <w:gridCol w:w="5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tbl>
      <w:tblPr>
        <w:tblW w:w="4581" w:type="dxa"/>
        <w:jc w:val="left"/>
        <w:tblInd w:w="0" w:type="dxa"/>
        <w:tblCellMar>
          <w:top w:w="28" w:type="dxa"/>
          <w:left w:w="28" w:type="dxa"/>
          <w:bottom w:w="28" w:type="dxa"/>
          <w:right w:w="28" w:type="dxa"/>
        </w:tblCellMar>
      </w:tblPr>
      <w:tblGrid>
        <w:gridCol w:w="124"/>
        <w:gridCol w:w="256"/>
        <w:gridCol w:w="42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acquire their ADSs or ordinary shares pursuant to any employee share option or otherwise as compensation;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ordinary shares as part of a straddle, hedge, conversion, constructive sale or other integrated transaction for U.S. federal income tax purposes;</w:t>
            </w:r>
          </w:p>
        </w:tc>
      </w:tr>
    </w:tbl>
    <w:tbl>
      <w:tblPr>
        <w:tblW w:w="5961" w:type="dxa"/>
        <w:jc w:val="left"/>
        <w:tblInd w:w="0" w:type="dxa"/>
        <w:tblCellMar>
          <w:top w:w="28" w:type="dxa"/>
          <w:left w:w="28" w:type="dxa"/>
          <w:bottom w:w="28" w:type="dxa"/>
          <w:right w:w="28" w:type="dxa"/>
        </w:tblCellMar>
      </w:tblPr>
      <w:tblGrid>
        <w:gridCol w:w="124"/>
        <w:gridCol w:w="256"/>
        <w:gridCol w:w="5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ADSs or ordinary shares representing 10% or more of our stock (by vote or value);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ordinary shares through such entities,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of whom may be subject to tax rules that differ significantly from those discussed below.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U.S. Holder is urged to consult its tax advisor regarding the application of U.S. federal taxation to its particular circumstances, and the state, local, non-U.S. and other tax considerations of the ownership and disposition of our ADSs or ordinary shares.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purposes of this discussion, a “U.S. Holder” is a beneficial owner of our ADSs or ordinary shares that is, for U.S. federal income tax purposes:</w:t>
      </w:r>
    </w:p>
    <w:tbl>
      <w:tblPr>
        <w:tblW w:w="5526" w:type="dxa"/>
        <w:jc w:val="left"/>
        <w:tblInd w:w="0" w:type="dxa"/>
        <w:tblCellMar>
          <w:top w:w="28" w:type="dxa"/>
          <w:left w:w="28" w:type="dxa"/>
          <w:bottom w:w="28" w:type="dxa"/>
          <w:right w:w="28" w:type="dxa"/>
        </w:tblCellMar>
      </w:tblPr>
      <w:tblGrid>
        <w:gridCol w:w="124"/>
        <w:gridCol w:w="256"/>
        <w:gridCol w:w="5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 of the United States or any state thereof or the District of Columbia;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ordinary shares for ADSs will generally not be subject to U.S. federal income tax.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generally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the law in this regard is not entirely clear, we treat the VIEs and their subsidiaries as being owned by us for U.S. federal income tax purposes because we have the power to direct activities of the VIEs that most significantly impact their economic performance and the right to receive economic benefits from the VIEs that could potentially be significant to them. As a result, we consolidate their results of operations in our consolidated U.S. GAAP financial statements. If it were determined, however, that we are not the owner of the VIEs and their subsidiaries for U.S. federal income tax purposes, we may be treated as a PFIC for the current taxable year and any subsequent taxable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Assuming that we are the owner of the VIEs and their subsidiaries for U.S. federal income tax purposes, and based on the value of our assets and the composition of our income and assets, including goodwill and other unbooked intangibles, our company does not appear to be a PFIC for our taxable year ended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can be no assurance that we will not be a PFIC, for U.S. federal income tax purposes, for any taxable year because our PFIC status is a factual determination made annually that will depend, in part, upon the composition of our income and assets. Fluctuations in the market price of our ADSs or ordinary shares may cause us to become a PFIC for the current or future taxable years because the value of our assets for purposes of the asset test, including the value of our goodwill and unbooked intangibles, may be determined by reference to the market price of our ADSs or ordinary shares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or other passive assets for active purposes, our risk of becoming classified as a PFIC may substantially increase. Because there are uncertainties in the application of the relevant rules (including recently proposed regulations), it is also possible that the Internal Revenue Service may challenge our classification of certain assets as non-passive, which may result in our company being or becoming a PFIC, for U.S. federal income tax purposes, for any taxable year, which could subject U.S. Holders to significant adverse U.S. federal income tax consequences.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classified as a PFIC for any taxable year during which a U.S. Holder holds our ADSs or ordinary shares, the PFIC rules discussed below under “—Passive Foreign Investment Company Rules” will generally apply to such U.S. Holder for such taxable year and, unless the U.S. Holder makes certain elections, will generally apply in future years even if we cease to be a PFIC. The discussion below under “—Dividends” and “—Sale or Other Disposition” assumes that we will not be classified as a PFIC for U.S. federal income tax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distributions (including the amount of any PRC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ordinary shares on which the dividends are paid are readily tradable on an established securities market in the United States, or, in the event that we are deemed to be a PRC resident enterprise under the PRC Enterprise Income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Our ADSs (but not our ordinary shares) were listed on the NYSE from July 2021 to June 2022. On June 13, 2022, our ADSs were delisted from the NYSE. Our ADSs have been quoted on OTC Pink under the symbol “DIDIY” since June 2022. Since our ADSs are not readily tradable on an established securities market in the United States, dividends received on our ADSs would generally not be eligible to be taxed at the lower capital gain tax rate applicable to “qualified dividend income” unless we are eligible for the benefits of the Treaty, as discussed below.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that we are deemed to be a PRC resident enterprise under the PRC Enterprise Income Tax Law (see “—People’s Republic of China Taxation”), we may be eligible for the benefits of the Treaty. If we are eligible for such benefits, dividends we pay on our ADSs or ordinary shares, regardless of whether the ADSs are readily tradable on an established securities market in the United States and regardless of whether the ordinary shares are represented by the ADSs, would be eligible for the reduced rates of taxation described in the preceding paragraph.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 or Other Disposition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U.S. Holder will generally recognize capital gain or loss upon the sale or other disposition of our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and will generally be U.S.-source gain or loss for U.S. foreign tax credit purposes, which may limit the ability to receive a foreign tax credit. Long-term capital gain of individuals and certain other non-corporate U.S. Holders will generally be eligible for a reduced rate of taxation. The deductibility of a capital loss may be subject to limitations.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described in “Item 10. Additional Information—E. Taxation—People’s Republic of China Taxation,” if we are deemed to be a PRC resident enterprise under the Enterprise Income Tax Law, gains from the disposition of the ADSs or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recently issued U.S. Treasury Regulations, however, if a U.S. Holder is not eligible for the benefits of the Treaty or does not elect to apply the Treaty, then such holder may not be able to claim a foreign tax credit arising from any PRC tax imposed on the disposition of the ADSs or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recently issued U.S. Treasury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ADSs or ordinary shares;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a PFIC (each, a “pre-PFIC year”) will be taxable as ordinary income;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taxable year during which a U.S. Holder holds our ADSs or ordinary shares and any of our subsidiaries, the VIEs or any subsidiaries of the VIEs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VIEs or any subsidiaries of the VIEs.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alternative to the foregoing rules, a U.S. Holder of “marketable stock” in a PFIC may make a mark-to-market election with respect to such stock. For these purposes, stock will be treated as “marketable stock” if it is regularly traded on a qualified exchange or other market, as defined in applicable United States Treasury Regulations. For these purposes, our ADSs, but not our ordinary shares, were listed on the NYSE, which is a qualified exchange for these purposes, from July 2021 to June 2022. On June 13, 2022, our ADSs were delisted from the NYSE. Our ADSs have been quoted on OTC Pink under the symbol “DIDIY” since June 2022. Since our ADSs are not readily tradable on an established securities market in the United States, our ADSs would not be treated as “marketable stock” for these purposes and a U.S. Holder would not be eligible to make a mark-to-market election with respect to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U.S. Holder makes a mark-to-market election, the holder will generally (i) include as ordinary income for each taxable year that we are a PFIC the excess, if any, of the fair market value of ADSs held at the end of the taxable year over the adjusted tax basis of such ADSs and (ii) deduct as an ordinary loss in each such year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a mark-to-market election cannot technically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U.S. Holder owns our ADSs or ordinary shares during any taxable year that we are a PFIC, the holder must generally file an annual IRS Form 8621. You should consult your tax advisors regarding the reporting requirements that may apply and the U.S. federal income tax consequences of owning and disposing of our ADSs or ordinary shares if we are or become a PFIC, including the possibility of making a mark-to-market election and the unavailability of the qualified electing fund election.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previously filed a registration statement on Form F-1 (Registration No. 333-256977) with the SEC to register the issuance and sale of our ordinary shares represented by ADSs in our initial public offering. We have also filed registration statements on Form F-6 (Registration No. 333-257342) with the SEC to register the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Times;serif" w:hAnsi="Times New Roman;Times;serif"/>
          <w:i/>
          <w:sz w:val="20"/>
        </w:rPr>
        <w:t>www.sec.gov</w:t>
      </w:r>
      <w:r>
        <w:rPr>
          <w:rFonts w:ascii="Times New Roman;Times;serif" w:hAnsi="Times New Roman;Times;serif"/>
          <w:sz w:val="20"/>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Normal"/>
        <w:spacing w:before="0" w:after="0"/>
        <w:rPr>
          <w:sz w:val="4"/>
          <w:szCs w:val="4"/>
        </w:rPr>
      </w:pPr>
      <w:r>
        <w:rPr>
          <w:sz w:val="4"/>
          <w:szCs w:val="4"/>
        </w:rPr>
      </w:r>
      <w:bookmarkStart w:id="88" w:name="Item11QuantitativeandQualitativeDisclosu"/>
      <w:bookmarkStart w:id="89" w:name="_235032c7_757f_4ffc_a552_1e45bdc562ce"/>
      <w:bookmarkStart w:id="90" w:name="Item11QuantitativeandQualitativeDisclosu"/>
      <w:bookmarkStart w:id="91" w:name="_235032c7_757f_4ffc_a552_1e45bdc562ce"/>
      <w:bookmarkEnd w:id="90"/>
      <w:bookmarkEnd w:id="91"/>
    </w:p>
    <w:tbl>
      <w:tblPr>
        <w:tblW w:w="6017" w:type="dxa"/>
        <w:jc w:val="left"/>
        <w:tblInd w:w="0" w:type="dxa"/>
        <w:tblCellMar>
          <w:top w:w="0" w:type="dxa"/>
          <w:left w:w="0" w:type="dxa"/>
          <w:bottom w:w="0" w:type="dxa"/>
          <w:right w:w="0" w:type="dxa"/>
        </w:tblCellMar>
      </w:tblPr>
      <w:tblGrid>
        <w:gridCol w:w="811"/>
        <w:gridCol w:w="5206"/>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11.</w:t>
            </w:r>
          </w:p>
        </w:tc>
        <w:tc>
          <w:tcPr>
            <w:tcW w:w="52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a majority of our cash and cash equivalents was held in Renminbi, with the remainder primarily held in U.S. dollars.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large majority of our revenues is denominated in Renminbi. Any significant depreciation of Renminbi against the U.S. dollar may materially and adversely affect our ability to pay dividends on our Class A ordinary shares or ADSs in U.S. dollars.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also exposed to foreign currency risk because of our international operations, particularly in Brazil and Mexico. While we generally expect to use any cash from operations in the same country where we receive that currency, fluctuations in the exchange rate between the currency of that country and the Renminbi will be recorded as foreign currency translation adjustments in our consolidated statements of comprehensive loss.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both short-term and long-term borrowings.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short-term borrowings consist of RMB-dominated borrowings by our subsidiaries from financial institutions in the PRC. We had short-term borrowings of RMB6,838 million and RMB4,940 million (US$716 million) as of December 31, 2021 and 2022,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long-term borrowings consist of a series of loan facilities with terms that range from 2 to 4 years. We had total long-term borrowings of RMB1,681 million and RMB150 million (US$22 million), as of December 31, 2021 and 2022,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exposure to changes in interest rates is mainly from floating-rate borrowings. As of December 31, 2022, a minority of our total borrowings carried floating interest rates. Any change in interest rates will cause the effective interest rates of borrowings to change and thus cause our future cash flows to fluctuate over time. Assuming all other variables remained constant and the balances of outstanding debts with floating rates at the end of each reporting period had been outstanding for the entire year, an increase (decrease) in the interest rate by 0.25% would have resulted in an increase (decrease) in the loss before income taxes for the years ended December 31, 2021 and 2022 by RMB4.7 million and RMB3.0 million (US$0.4 million),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Credit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of our cash and cash equivalents, restricted cash and short-term investments are held by major financial institutions located in the PRC and Hong Kong which we believe are of high credit quality. We expect that there is no significant credit risk associated with these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a limited number of third parties to provide payment processing services to collect amounts due from customers. Payment service providers are financial institutions, credit card companies and online payment platforms which we believe are of high credit quality. As of December 31, 2021 and 2022, cash held in accounts managed by online payment platforms such as Alipay and WeChat Pay amounted to RMB2,213 million and RMB972 million (US$141 million),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receivable are typically unsecured and are derived from revenues earned from customers in the PRC. The credit risk with respect to account receivables is mitigated by credit control policies we carry out with respect to our customers and our ongoing monitoring process of outstanding balances.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loans receivable which primarily represent micro-loans that we offer to individual borrowers who are registered as riders, end-users or drivers via our platform. Our loans receivable, net, were RMB4,644 million and RMB5,339 million (US$774 million) as of December 31, 2021 and 2022, respectively. We do not have significant exposure to any individual customer.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December 31, 2022, we had cash and cash equivalents of RMB20,855 million (US$3,024 million), restricted cash of RMB804 million (US$117 million) and short-term investments of RMB17,548 million (US$2,544 million), as compared to total current liabilities of RMB20,248 million (US$2,936 million).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Short-term investments mainly consist of time deposits, structured notes and other investments with maturities within 12 months. Time deposits include the balances placed with the banks with original maturities over three months, but less than one year and the long-term time deposits with a maturity date within one year. The investments that are expected to be realized in cash during the next twelve months are also included in short-term investments.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92" w:name="Item12DescriptionofSecuritiesOtherthanEq"/>
      <w:bookmarkStart w:id="93" w:name="_9789000b_623f_4c65_8ca4_190a9b844f88"/>
      <w:bookmarkStart w:id="94" w:name="Item12DescriptionofSecuritiesOtherthanEq"/>
      <w:bookmarkStart w:id="95" w:name="_9789000b_623f_4c65_8ca4_190a9b844f88"/>
      <w:bookmarkEnd w:id="94"/>
      <w:bookmarkEnd w:id="95"/>
    </w:p>
    <w:tbl>
      <w:tblPr>
        <w:tblW w:w="5462" w:type="dxa"/>
        <w:jc w:val="left"/>
        <w:tblInd w:w="0" w:type="dxa"/>
        <w:tblCellMar>
          <w:top w:w="0" w:type="dxa"/>
          <w:left w:w="0" w:type="dxa"/>
          <w:bottom w:w="0" w:type="dxa"/>
          <w:right w:w="0" w:type="dxa"/>
        </w:tblCellMar>
      </w:tblPr>
      <w:tblGrid>
        <w:gridCol w:w="811"/>
        <w:gridCol w:w="4651"/>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12.</w:t>
            </w:r>
          </w:p>
        </w:tc>
        <w:tc>
          <w:tcPr>
            <w:tcW w:w="465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Description of Securities Other than Equity Securities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Debt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Warrants and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tbl>
      <w:tblPr>
        <w:tblW w:w="10205" w:type="dxa"/>
        <w:jc w:val="left"/>
        <w:tblInd w:w="0" w:type="dxa"/>
        <w:tblCellMar>
          <w:top w:w="0" w:type="dxa"/>
          <w:left w:w="0" w:type="dxa"/>
          <w:bottom w:w="0" w:type="dxa"/>
          <w:right w:w="0" w:type="dxa"/>
        </w:tblCellMar>
      </w:tblPr>
      <w:tblGrid>
        <w:gridCol w:w="6824"/>
        <w:gridCol w:w="326"/>
        <w:gridCol w:w="3055"/>
      </w:tblGrid>
      <w:tr>
        <w:trPr/>
        <w:tc>
          <w:tcPr>
            <w:tcW w:w="6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333240" cy="29210"/>
                      <wp:effectExtent l="0" t="0" r="0" b="0"/>
                      <wp:wrapNone/>
                      <wp:docPr id="270" name="Frame263"/>
                      <a:graphic xmlns:a="http://schemas.openxmlformats.org/drawingml/2006/main">
                        <a:graphicData uri="http://schemas.microsoft.com/office/word/2010/wordprocessingShape">
                          <wps:wsp>
                            <wps:cNvSpPr txBox="1"/>
                            <wps:spPr>
                              <a:xfrm>
                                <a:off x="0" y="0"/>
                                <a:ext cx="43332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939925" cy="29210"/>
                      <wp:effectExtent l="0" t="0" r="0" b="0"/>
                      <wp:wrapNone/>
                      <wp:docPr id="271" name="Frame264"/>
                      <a:graphic xmlns:a="http://schemas.openxmlformats.org/drawingml/2006/main">
                        <a:graphicData uri="http://schemas.microsoft.com/office/word/2010/wordprocessingShape">
                          <wps:wsp>
                            <wps:cNvSpPr txBox="1"/>
                            <wps:spPr>
                              <a:xfrm>
                                <a:off x="0" y="0"/>
                                <a:ext cx="193992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6824"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Service</w:t>
            </w:r>
          </w:p>
        </w:tc>
        <w:tc>
          <w:tcPr>
            <w:tcW w:w="326" w:type="dxa"/>
            <w:tcBorders/>
            <w:shd w:fill="auto" w:val="clear"/>
            <w:vAlign w:val="center"/>
          </w:tcPr>
          <w:p>
            <w:pPr>
              <w:pStyle w:val="TableContents"/>
              <w:spacing w:before="0" w:after="0"/>
              <w:ind w:left="0" w:right="0" w:hanging="0"/>
              <w:jc w:val="center"/>
              <w:rPr/>
            </w:pPr>
            <w:r>
              <w:rPr/>
              <w:t>    </w:t>
            </w:r>
          </w:p>
        </w:tc>
        <w:tc>
          <w:tcPr>
            <w:tcW w:w="3055"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Fees</w:t>
            </w:r>
          </w:p>
        </w:tc>
      </w:tr>
      <w:tr>
        <w:trPr/>
        <w:tc>
          <w:tcPr>
            <w:tcW w:w="6824"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CCEEFF" w:val="clear"/>
            <w:vAlign w:val="center"/>
          </w:tcPr>
          <w:p>
            <w:pPr>
              <w:pStyle w:val="TableContents"/>
              <w:spacing w:before="0" w:after="0"/>
              <w:ind w:left="0" w:right="0" w:hanging="0"/>
              <w:jc w:val="both"/>
              <w:rPr/>
            </w:pPr>
            <w:r>
              <w:rPr/>
              <w:t>​</w:t>
            </w:r>
          </w:p>
        </w:tc>
        <w:tc>
          <w:tcPr>
            <w:tcW w:w="3055"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issued</w:t>
            </w:r>
          </w:p>
        </w:tc>
      </w:tr>
      <w:tr>
        <w:trPr/>
        <w:tc>
          <w:tcPr>
            <w:tcW w:w="6824"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Cancellation of ADSs, including in the case of termination of the deposit agreement</w:t>
            </w:r>
          </w:p>
        </w:tc>
        <w:tc>
          <w:tcPr>
            <w:tcW w:w="326" w:type="dxa"/>
            <w:tcBorders/>
            <w:shd w:fill="auto" w:val="clear"/>
            <w:vAlign w:val="center"/>
          </w:tcPr>
          <w:p>
            <w:pPr>
              <w:pStyle w:val="TableContents"/>
              <w:spacing w:before="0" w:after="0"/>
              <w:ind w:left="0" w:right="0" w:hanging="0"/>
              <w:jc w:val="both"/>
              <w:rPr/>
            </w:pPr>
            <w:r>
              <w:rPr/>
              <w:t>​</w:t>
            </w:r>
          </w:p>
        </w:tc>
        <w:tc>
          <w:tcPr>
            <w:tcW w:w="305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cancelled</w:t>
            </w:r>
          </w:p>
        </w:tc>
      </w:tr>
      <w:tr>
        <w:trPr/>
        <w:tc>
          <w:tcPr>
            <w:tcW w:w="6824"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dividends</w:t>
            </w:r>
          </w:p>
        </w:tc>
        <w:tc>
          <w:tcPr>
            <w:tcW w:w="326" w:type="dxa"/>
            <w:tcBorders/>
            <w:shd w:fill="CCEEFF" w:val="clear"/>
            <w:vAlign w:val="center"/>
          </w:tcPr>
          <w:p>
            <w:pPr>
              <w:pStyle w:val="TableContents"/>
              <w:spacing w:before="0" w:after="0"/>
              <w:ind w:left="0" w:right="0" w:hanging="0"/>
              <w:jc w:val="both"/>
              <w:rPr/>
            </w:pPr>
            <w:r>
              <w:rPr/>
              <w:t>​</w:t>
            </w:r>
          </w:p>
        </w:tc>
        <w:tc>
          <w:tcPr>
            <w:tcW w:w="3055"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entitlements (other than cash dividends) and/or cash proceeds from the sale of rights, securities and other entitlements</w:t>
            </w:r>
          </w:p>
        </w:tc>
        <w:tc>
          <w:tcPr>
            <w:tcW w:w="326" w:type="dxa"/>
            <w:tcBorders/>
            <w:shd w:fill="auto" w:val="clear"/>
            <w:vAlign w:val="center"/>
          </w:tcPr>
          <w:p>
            <w:pPr>
              <w:pStyle w:val="TableContents"/>
              <w:spacing w:before="0" w:after="0"/>
              <w:ind w:left="0" w:right="0" w:hanging="0"/>
              <w:jc w:val="both"/>
              <w:rPr/>
            </w:pPr>
            <w:r>
              <w:rPr/>
              <w:t>​</w:t>
            </w:r>
          </w:p>
        </w:tc>
        <w:tc>
          <w:tcPr>
            <w:tcW w:w="305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ADSs pursuant to exercise of rights.</w:t>
            </w:r>
          </w:p>
        </w:tc>
        <w:tc>
          <w:tcPr>
            <w:tcW w:w="326" w:type="dxa"/>
            <w:tcBorders/>
            <w:shd w:fill="CCEEFF" w:val="clear"/>
            <w:vAlign w:val="center"/>
          </w:tcPr>
          <w:p>
            <w:pPr>
              <w:pStyle w:val="TableContents"/>
              <w:spacing w:before="0" w:after="0"/>
              <w:ind w:left="0" w:right="0" w:hanging="0"/>
              <w:jc w:val="both"/>
              <w:rPr/>
            </w:pPr>
            <w:r>
              <w:rPr/>
              <w:t>​</w:t>
            </w:r>
          </w:p>
        </w:tc>
        <w:tc>
          <w:tcPr>
            <w:tcW w:w="3055"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auto" w:val="clear"/>
            <w:vAlign w:val="center"/>
          </w:tcPr>
          <w:p>
            <w:pPr>
              <w:pStyle w:val="TableContents"/>
              <w:spacing w:before="0" w:after="0"/>
              <w:ind w:left="0" w:right="0" w:hanging="0"/>
              <w:jc w:val="both"/>
              <w:rPr/>
            </w:pPr>
            <w:r>
              <w:rPr/>
              <w:t>​</w:t>
            </w:r>
          </w:p>
        </w:tc>
        <w:tc>
          <w:tcPr>
            <w:tcW w:w="305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6824" w:type="dxa"/>
            <w:tcBorders/>
            <w:shd w:fill="CCEEFF"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CCEEFF" w:val="clear"/>
            <w:vAlign w:val="center"/>
          </w:tcPr>
          <w:p>
            <w:pPr>
              <w:pStyle w:val="TableContents"/>
              <w:spacing w:before="0" w:after="0"/>
              <w:ind w:left="0" w:right="0" w:hanging="0"/>
              <w:jc w:val="both"/>
              <w:rPr/>
            </w:pPr>
            <w:r>
              <w:rPr/>
              <w:t>​</w:t>
            </w:r>
          </w:p>
        </w:tc>
        <w:tc>
          <w:tcPr>
            <w:tcW w:w="3055"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CellMar>
          <w:top w:w="28" w:type="dxa"/>
          <w:left w:w="28" w:type="dxa"/>
          <w:bottom w:w="28" w:type="dxa"/>
          <w:right w:w="28" w:type="dxa"/>
        </w:tblCellMar>
      </w:tblPr>
      <w:tblGrid>
        <w:gridCol w:w="124"/>
        <w:gridCol w:w="256"/>
        <w:gridCol w:w="6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w:t>
            </w:r>
          </w:p>
        </w:tc>
      </w:tr>
    </w:tbl>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Responsibility for payment of such fees, charges and reimbursements may from time to time be changed by agreement between us and the depositary. In the year ended December 31, 2022, we did not receive any payment from the depositary for our expenses incurred in connection with the establishment and maintenance of the ADS program.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you any net proceeds, or send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6" w:name="PARTII_8867"/>
      <w:bookmarkStart w:id="97" w:name="_df7e5903_557a_41d0_ac27_9b2778099548"/>
      <w:bookmarkEnd w:id="96"/>
      <w:bookmarkEnd w:id="97"/>
      <w:r>
        <w:rPr>
          <w:rFonts w:ascii="Times New Roman;Times;serif" w:hAnsi="Times New Roman;Times;serif"/>
          <w:b/>
          <w:sz w:val="20"/>
        </w:rPr>
        <w:t>PART II</w:t>
      </w:r>
    </w:p>
    <w:p>
      <w:pPr>
        <w:pStyle w:val="Normal"/>
        <w:spacing w:before="0" w:after="0"/>
        <w:rPr>
          <w:sz w:val="4"/>
          <w:szCs w:val="4"/>
        </w:rPr>
      </w:pPr>
      <w:r>
        <w:rPr>
          <w:sz w:val="4"/>
          <w:szCs w:val="4"/>
        </w:rPr>
      </w:r>
      <w:bookmarkStart w:id="98" w:name="Item13DefaultsDividendArrearagesandDelin"/>
      <w:bookmarkStart w:id="99" w:name="Item13DefaultsDividendArrearagesandDelin"/>
      <w:bookmarkEnd w:id="99"/>
    </w:p>
    <w:tbl>
      <w:tblPr>
        <w:tblW w:w="5102" w:type="dxa"/>
        <w:jc w:val="left"/>
        <w:tblInd w:w="0" w:type="dxa"/>
        <w:tblCellMar>
          <w:top w:w="0" w:type="dxa"/>
          <w:left w:w="0" w:type="dxa"/>
          <w:bottom w:w="0" w:type="dxa"/>
          <w:right w:w="0" w:type="dxa"/>
        </w:tblCellMar>
      </w:tblPr>
      <w:tblGrid>
        <w:gridCol w:w="811"/>
        <w:gridCol w:w="4291"/>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13.</w:t>
            </w:r>
          </w:p>
        </w:tc>
        <w:tc>
          <w:tcPr>
            <w:tcW w:w="429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Defaults, Dividend Arrearages and Delinquencies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720"/>
        <w:rPr/>
      </w:pPr>
      <w:r>
        <w:rPr/>
        <w:t>​</w:t>
      </w:r>
    </w:p>
    <w:p>
      <w:pPr>
        <w:pStyle w:val="Normal"/>
        <w:spacing w:before="0" w:after="0"/>
        <w:rPr>
          <w:sz w:val="4"/>
          <w:szCs w:val="4"/>
        </w:rPr>
      </w:pPr>
      <w:r>
        <w:rPr>
          <w:sz w:val="4"/>
          <w:szCs w:val="4"/>
        </w:rPr>
      </w:r>
      <w:bookmarkStart w:id="100" w:name="Item14MaterialModificationstotheRightsof"/>
      <w:bookmarkStart w:id="101" w:name="_7dffecef_ca8b_4a31_b5d6_5921f96ad115"/>
      <w:bookmarkStart w:id="102" w:name="Item14MaterialModificationstotheRightsof"/>
      <w:bookmarkStart w:id="103" w:name="_7dffecef_ca8b_4a31_b5d6_5921f96ad115"/>
      <w:bookmarkEnd w:id="102"/>
      <w:bookmarkEnd w:id="103"/>
    </w:p>
    <w:tbl>
      <w:tblPr>
        <w:tblW w:w="7427" w:type="dxa"/>
        <w:jc w:val="left"/>
        <w:tblInd w:w="0" w:type="dxa"/>
        <w:tblCellMar>
          <w:top w:w="0" w:type="dxa"/>
          <w:left w:w="0" w:type="dxa"/>
          <w:bottom w:w="0" w:type="dxa"/>
          <w:right w:w="0" w:type="dxa"/>
        </w:tblCellMar>
      </w:tblPr>
      <w:tblGrid>
        <w:gridCol w:w="811"/>
        <w:gridCol w:w="6616"/>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14.</w:t>
            </w:r>
          </w:p>
        </w:tc>
        <w:tc>
          <w:tcPr>
            <w:tcW w:w="661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Material Modifications to the Rights of Security Holders and Use of Proceeds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Proceeds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for our initial public offering (File Number 333-256977), which was declared effective by the SEC on June 29, 2021. Our initial public offering closed in July 2021. Goldman Sachs (Asia) L.L.C., Morgan Stanley &amp; Co. LLC and J.P. Morgan Securities LLC were the representatives of the underwriters for our initial public offering. We offered and sold an aggregate of 316,800,000 ADSs, representing 79,200,000 Class A Ordinary Shares, at an offering price of US$14.00 per ADS. We raised approximately US$4,332.0 million in net proceeds from our initial public offering after deducting underwriting commissions and discounts and the offering expenses paid or payable by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total expenses incurred for our company’s account in connection with our initial public offering was US$103.2 million, which included US$88.7 million in underwriting discounts and commissions for the initial public offering and approximately US$14.5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 ended December 31, 2022, we did not use any of the net proceeds from our initial public offering. There is no material change in the use of proceeds as described in the registration statement.</w:t>
      </w:r>
    </w:p>
    <w:p>
      <w:pPr>
        <w:pStyle w:val="TextBody"/>
        <w:spacing w:before="0" w:after="0"/>
        <w:ind w:left="0" w:right="0" w:firstLine="720"/>
        <w:rPr/>
      </w:pPr>
      <w:r>
        <w:rPr/>
        <w:t>​</w:t>
      </w:r>
    </w:p>
    <w:p>
      <w:pPr>
        <w:pStyle w:val="Normal"/>
        <w:spacing w:before="0" w:after="0"/>
        <w:rPr>
          <w:sz w:val="4"/>
          <w:szCs w:val="4"/>
        </w:rPr>
      </w:pPr>
      <w:r>
        <w:rPr>
          <w:sz w:val="4"/>
          <w:szCs w:val="4"/>
        </w:rPr>
      </w:r>
      <w:bookmarkStart w:id="104" w:name="Item15ControlsandProcedures_498009"/>
      <w:bookmarkStart w:id="105" w:name="_aaf0d04a_40e5_4ee9_b131_13f186c4d02f"/>
      <w:bookmarkStart w:id="106" w:name="Item15ControlsandProcedures_498009"/>
      <w:bookmarkStart w:id="107" w:name="_aaf0d04a_40e5_4ee9_b131_13f186c4d02f"/>
      <w:bookmarkEnd w:id="106"/>
      <w:bookmarkEnd w:id="107"/>
    </w:p>
    <w:tbl>
      <w:tblPr>
        <w:tblW w:w="3062" w:type="dxa"/>
        <w:jc w:val="left"/>
        <w:tblInd w:w="0" w:type="dxa"/>
        <w:tblCellMar>
          <w:top w:w="0" w:type="dxa"/>
          <w:left w:w="0" w:type="dxa"/>
          <w:bottom w:w="0" w:type="dxa"/>
          <w:right w:w="0" w:type="dxa"/>
        </w:tblCellMar>
      </w:tblPr>
      <w:tblGrid>
        <w:gridCol w:w="811"/>
        <w:gridCol w:w="2251"/>
      </w:tblGrid>
      <w:tr>
        <w:trPr/>
        <w:tc>
          <w:tcPr>
            <w:tcW w:w="81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15.</w:t>
            </w:r>
          </w:p>
        </w:tc>
        <w:tc>
          <w:tcPr>
            <w:tcW w:w="225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Controls and Procedures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under the supervision and with the participation of our chief executive officer and our chief financial officer, carried out an evaluation of the effectiveness of our disclosure controls and procedures, which is defined in Rules 13a-15(e) of the Exchange Act, as of December 31, 2022.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upon that evaluation, our management, with the participation of our chief executive officer and our chief financial officer, has concluded that, as of the end of the period covered by this annual report, our disclosure controls and procedures were effective as of December 31, 2022 and as of the date that the evaluation of the effectiveness of our disclosure controls and procedures was completed.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independent registered public accounting firm, PricewaterhouseCoopers Zhong Tian LLP, has audited the effectiveness of our internal control over financial reporting as of December 31, 2022, as stated in its report, which appears on page F-2 of this annual report on Form 20-F.</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8" w:name="Item16AAuditCommitteeFinancialExpert_604"/>
      <w:bookmarkStart w:id="109" w:name="_de8a854d_cf06_4825_9c37_d37231865538"/>
      <w:bookmarkEnd w:id="108"/>
      <w:bookmarkEnd w:id="109"/>
      <w:r>
        <w:rPr>
          <w:rFonts w:ascii="Times New Roman;Times;serif" w:hAnsi="Times New Roman;Times;serif"/>
          <w:b/>
          <w:sz w:val="20"/>
        </w:rPr>
        <w:t>Item 16A.      Audit Committee Financial Expert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has determined that Mr. Zhihui Yang, an independent director (under the standards set forth in Rule 10A-3 under the Exchange Act) and member of our audit committee, is an audit committee financial expert.</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10" w:name="Item16BCodeofEthics_682955"/>
      <w:bookmarkStart w:id="111" w:name="_a82562c2_904b_4541_835e_0fe21db67c87"/>
      <w:bookmarkEnd w:id="110"/>
      <w:bookmarkEnd w:id="111"/>
      <w:r>
        <w:rPr>
          <w:rFonts w:ascii="Times New Roman;Times;serif" w:hAnsi="Times New Roman;Times;serif"/>
          <w:b/>
          <w:sz w:val="20"/>
        </w:rPr>
        <w:t>Item 16B.      Code of Ethics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in June 2021. We have filed a copy of our code of business conduct and ethics as an exhibit to this annual report on Form 20-F.</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12" w:name="Item16CPrincipalAccountantFeesandService"/>
      <w:bookmarkStart w:id="113" w:name="_0f953653_d8a2_4076_9563_4b580564524b"/>
      <w:bookmarkEnd w:id="112"/>
      <w:bookmarkEnd w:id="113"/>
      <w:r>
        <w:rPr>
          <w:rFonts w:ascii="Times New Roman;Times;serif" w:hAnsi="Times New Roman;Times;serif"/>
          <w:b/>
          <w:sz w:val="20"/>
        </w:rPr>
        <w:t>Item 16C.      Principal Accountant Fees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PricewaterhouseCoopers Zhong Tian LLP, our principal external auditors, for the periods indicated.</w:t>
      </w:r>
    </w:p>
    <w:tbl>
      <w:tblPr>
        <w:tblW w:w="3116" w:type="dxa"/>
        <w:jc w:val="left"/>
        <w:tblInd w:w="0" w:type="dxa"/>
        <w:tblCellMar>
          <w:top w:w="0" w:type="dxa"/>
          <w:left w:w="0" w:type="dxa"/>
          <w:bottom w:w="0" w:type="dxa"/>
          <w:right w:w="0" w:type="dxa"/>
        </w:tblCellMar>
      </w:tblPr>
      <w:tblGrid>
        <w:gridCol w:w="1366"/>
        <w:gridCol w:w="326"/>
        <w:gridCol w:w="509"/>
        <w:gridCol w:w="356"/>
        <w:gridCol w:w="559"/>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67410" cy="175260"/>
                      <wp:effectExtent l="0" t="0" r="0" b="0"/>
                      <wp:wrapNone/>
                      <wp:docPr id="272" name="Frame265"/>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3"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23215" cy="175260"/>
                      <wp:effectExtent l="0" t="0" r="0" b="0"/>
                      <wp:wrapNone/>
                      <wp:docPr id="274" name="Frame267"/>
                      <a:graphic xmlns:a="http://schemas.openxmlformats.org/drawingml/2006/main">
                        <a:graphicData uri="http://schemas.microsoft.com/office/word/2010/wordprocessingShape">
                          <wps:wsp>
                            <wps:cNvSpPr txBox="1"/>
                            <wps:spPr>
                              <a:xfrm>
                                <a:off x="0" y="0"/>
                                <a:ext cx="323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26060" cy="175260"/>
                      <wp:effectExtent l="0" t="0" r="0" b="0"/>
                      <wp:wrapNone/>
                      <wp:docPr id="275" name="Frame268"/>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54965" cy="175260"/>
                      <wp:effectExtent l="0" t="0" r="0" b="0"/>
                      <wp:wrapNone/>
                      <wp:docPr id="276" name="Frame269"/>
                      <a:graphic xmlns:a="http://schemas.openxmlformats.org/drawingml/2006/main">
                        <a:graphicData uri="http://schemas.microsoft.com/office/word/2010/wordprocessingShape">
                          <wps:wsp>
                            <wps:cNvSpPr txBox="1"/>
                            <wps:spPr>
                              <a:xfrm>
                                <a:off x="0" y="0"/>
                                <a:ext cx="354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0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6" w:type="dxa"/>
            <w:tcBorders/>
            <w:shd w:fill="auto" w:val="clear"/>
            <w:vAlign w:val="center"/>
          </w:tcPr>
          <w:p>
            <w:pPr>
              <w:pStyle w:val="TableContents"/>
              <w:spacing w:before="0" w:after="0"/>
              <w:ind w:left="0" w:right="0" w:hanging="0"/>
              <w:rPr/>
            </w:pPr>
            <w:r>
              <w:rPr/>
              <w:t>    </w:t>
            </w:r>
          </w:p>
        </w:tc>
        <w:tc>
          <w:tcPr>
            <w:tcW w:w="55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16" w:type="dxa"/>
            <w:gridSpan w:val="5"/>
            <w:tcBorders/>
            <w:shd w:fill="auto" w:val="clear"/>
            <w:vAlign w:val="center"/>
          </w:tcPr>
          <w:p>
            <w:pPr>
              <w:pStyle w:val="TableContents"/>
              <w:spacing w:before="0" w:after="283"/>
              <w:ind w:left="0" w:right="0" w:hanging="0"/>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24"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millions)</w:t>
            </w:r>
          </w:p>
        </w:tc>
      </w:tr>
      <w:tr>
        <w:trPr/>
        <w:tc>
          <w:tcPr>
            <w:tcW w:w="1366"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5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56" w:type="dxa"/>
            <w:tcBorders/>
            <w:shd w:fill="CCEEFF" w:val="clear"/>
            <w:vAlign w:val="center"/>
          </w:tcPr>
          <w:p>
            <w:pPr>
              <w:pStyle w:val="TableContents"/>
              <w:spacing w:before="0" w:after="0"/>
              <w:ind w:left="0" w:right="0" w:hanging="0"/>
              <w:rPr/>
            </w:pPr>
            <w:r>
              <w:rPr/>
              <w:t> </w:t>
            </w:r>
          </w:p>
        </w:tc>
        <w:tc>
          <w:tcPr>
            <w:tcW w:w="5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36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 </w:t>
            </w:r>
          </w:p>
        </w:tc>
        <w:tc>
          <w:tcPr>
            <w:tcW w:w="5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56" w:type="dxa"/>
            <w:tcBorders/>
            <w:shd w:fill="auto" w:val="clear"/>
            <w:vAlign w:val="center"/>
          </w:tcPr>
          <w:p>
            <w:pPr>
              <w:pStyle w:val="TableContents"/>
              <w:spacing w:before="0" w:after="0"/>
              <w:ind w:left="0" w:right="0" w:hanging="0"/>
              <w:rPr/>
            </w:pPr>
            <w:r>
              <w:rPr/>
              <w:t> </w:t>
            </w:r>
          </w:p>
        </w:tc>
        <w:tc>
          <w:tcPr>
            <w:tcW w:w="5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66" w:type="dxa"/>
            <w:tcBorders/>
            <w:shd w:fill="CCEEFF"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(3)</w:t>
            </w:r>
          </w:p>
        </w:tc>
        <w:tc>
          <w:tcPr>
            <w:tcW w:w="326" w:type="dxa"/>
            <w:tcBorders/>
            <w:shd w:fill="CCEEFF" w:val="clear"/>
            <w:vAlign w:val="center"/>
          </w:tcPr>
          <w:p>
            <w:pPr>
              <w:pStyle w:val="TableContents"/>
              <w:spacing w:before="0" w:after="0"/>
              <w:ind w:left="0" w:right="0" w:hanging="0"/>
              <w:rPr/>
            </w:pPr>
            <w:r>
              <w:rPr/>
              <w:t> </w:t>
            </w:r>
          </w:p>
        </w:tc>
        <w:tc>
          <w:tcPr>
            <w:tcW w:w="5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6" w:type="dxa"/>
            <w:tcBorders/>
            <w:shd w:fill="CCEEFF" w:val="clear"/>
            <w:vAlign w:val="center"/>
          </w:tcPr>
          <w:p>
            <w:pPr>
              <w:pStyle w:val="TableContents"/>
              <w:spacing w:before="0" w:after="0"/>
              <w:ind w:left="0" w:right="0" w:hanging="0"/>
              <w:rPr/>
            </w:pPr>
            <w:r>
              <w:rPr/>
              <w:t> </w:t>
            </w:r>
          </w:p>
        </w:tc>
        <w:tc>
          <w:tcPr>
            <w:tcW w:w="559"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or to be billed for each of the fiscal years listed for professional services rendered by our principal auditors for the audit of our annual financial statements and assistance with and review of documents filed with the SEC and other assurance services.</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8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or to be billed for each of the fiscal years listed for professional services rendered by our principal auditors for tax compliance, tax advice, and tax planning.</w:t>
            </w:r>
          </w:p>
        </w:tc>
      </w:tr>
    </w:tbl>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86"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fees” means the aggregate fees billed or to be billed for each of the fiscal years listed for professional services rendered by our principal auditors associated with certain permitted advisory services.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policy of our audit committee is to pre-approve all audit and non-audit services provided by PricewaterhouseCoopers Zhong Tian LLP, including audit services, tax services and other services as described above. </w:t>
      </w:r>
    </w:p>
    <w:p>
      <w:pPr>
        <w:pStyle w:val="TextBody"/>
        <w:spacing w:before="0" w:after="240"/>
        <w:ind w:left="0" w:right="0" w:hanging="0"/>
        <w:rPr>
          <w:rFonts w:ascii="Times New Roman;Times;serif" w:hAnsi="Times New Roman;Times;serif"/>
          <w:b/>
          <w:sz w:val="20"/>
        </w:rPr>
      </w:pPr>
      <w:bookmarkStart w:id="114" w:name="Item16DExemptionsfromtheListingStandards"/>
      <w:bookmarkStart w:id="115" w:name="_6a68aa07_9707_4bd7_9841_c75b44b63b63"/>
      <w:bookmarkEnd w:id="114"/>
      <w:bookmarkEnd w:id="115"/>
      <w:r>
        <w:rPr>
          <w:rFonts w:ascii="Times New Roman;Times;serif" w:hAnsi="Times New Roman;Times;serif"/>
          <w:b/>
          <w:sz w:val="20"/>
        </w:rPr>
        <w:t>Item 16D.      Exemptions from the Listing Standards for Audit Committees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16" w:name="Item16EPurchasesofEquitySecuritiesbytheI"/>
      <w:bookmarkStart w:id="117" w:name="_0f11dc9d_c2df_434f_bab0_19f4251cb1de"/>
      <w:bookmarkEnd w:id="116"/>
      <w:bookmarkEnd w:id="117"/>
      <w:r>
        <w:rPr>
          <w:rFonts w:ascii="Times New Roman;Times;serif" w:hAnsi="Times New Roman;Times;serif"/>
          <w:b/>
          <w:sz w:val="20"/>
        </w:rPr>
        <w:t>Item 16E.      Purchases of Equity Securities by the Issuer and Affiliated Purchasers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18" w:name="Item16FChangeinRegistrantsCertifyingAcco"/>
      <w:bookmarkStart w:id="119" w:name="_4489e1bb_849d_4852_92d1_ac4d99345ee6"/>
      <w:bookmarkEnd w:id="118"/>
      <w:bookmarkEnd w:id="119"/>
      <w:r>
        <w:rPr>
          <w:rFonts w:ascii="Times New Roman;Times;serif" w:hAnsi="Times New Roman;Times;serif"/>
          <w:b/>
          <w:sz w:val="20"/>
        </w:rPr>
        <w:t>Item 16F.      Change in Registrant’s Certifying Accountant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20" w:name="Item16GCorporateGovernance_25823"/>
      <w:bookmarkStart w:id="121" w:name="_2bdf0ee9_e303_4cbb_a2bd_47ab5e9317d4"/>
      <w:bookmarkEnd w:id="120"/>
      <w:bookmarkEnd w:id="121"/>
      <w:r>
        <w:rPr>
          <w:rFonts w:ascii="Times New Roman;Times;serif" w:hAnsi="Times New Roman;Times;serif"/>
          <w:b/>
          <w:sz w:val="20"/>
        </w:rPr>
        <w:t>Item 16G.      Corporate Governance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22" w:name="Item16HMineSafetyDisclosure_120723"/>
      <w:bookmarkStart w:id="123" w:name="_b28c888c_0765_4b79_9212_a99954277768"/>
      <w:bookmarkEnd w:id="122"/>
      <w:bookmarkEnd w:id="123"/>
      <w:r>
        <w:rPr>
          <w:rFonts w:ascii="Times New Roman;Times;serif" w:hAnsi="Times New Roman;Times;serif"/>
          <w:b/>
          <w:sz w:val="20"/>
        </w:rPr>
        <w:t>Item 16H.      Mine Safety Disclosure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24" w:name="Item16IDisclosureRegardingForeignJurisdi"/>
      <w:bookmarkStart w:id="125" w:name="_867c9c9b_4f3d_4c0e_81f9_d5c92b7f8295"/>
      <w:bookmarkEnd w:id="124"/>
      <w:bookmarkEnd w:id="125"/>
      <w:r>
        <w:rPr>
          <w:rFonts w:ascii="Times New Roman;Times;serif" w:hAnsi="Times New Roman;Times;serif"/>
          <w:b/>
          <w:sz w:val="20"/>
        </w:rPr>
        <w:t>Item 16I.        Disclosure Regarding Foreign Jurisdictions that Prevent Inspections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2022, DiDi Global Inc. was conclusively listed by the SEC as a Commission-Identified Issuer under the HFCAA following the filing of our annual report on Form 20-F for the fiscal year ended December 31, 2021. Our auditor, a registered public accounting firm that the PCAOB was unable to inspect or investigate completely in 2021, issued the audit report for us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the date of this annual report, to our knowledge, (i) no governmental entities in the Cayman Islands or in China own shares of DiDi Global Inc. or the VIEs in China, (ii) the governmental entities in China do not have a controlling financial interest in DiDi Global Inc. or the VIEs, (iii) none of the members of the board of directors of DiDi Global Inc. or our operating entities, including the VIEs, is an official of the Chinese Communist Party, and (iv) none of the currently effective memorandum and articles of association (or equivalent organizing document) of DiDi Global Inc. or the VIEs contains any charter of the Chinese Communist Party.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126" w:name="Item16JInsidertradingpolicies_184078"/>
      <w:bookmarkStart w:id="127" w:name="_eb8c229d_f67e_4d69_84c7_2a6d5d624e43"/>
      <w:bookmarkEnd w:id="126"/>
      <w:bookmarkEnd w:id="127"/>
      <w:r>
        <w:rPr>
          <w:rFonts w:ascii="Times New Roman;Times;serif" w:hAnsi="Times New Roman;Times;serif"/>
          <w:b/>
          <w:sz w:val="20"/>
        </w:rPr>
        <w:t>Item 16J.</w:t>
      </w:r>
      <w:r>
        <w:rPr>
          <w:rFonts w:ascii="Times New Roman;Times;serif" w:hAnsi="Times New Roman;Times;serif"/>
          <w:sz w:val="20"/>
        </w:rPr>
        <w:t>        </w:t>
      </w:r>
      <w:r>
        <w:rPr>
          <w:rFonts w:ascii="Times New Roman;Times;serif" w:hAnsi="Times New Roman;Times;serif"/>
          <w:b/>
          <w:sz w:val="20"/>
        </w:rPr>
        <w:t>Insider trading policies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28" w:name="PARTIII_740792"/>
      <w:bookmarkStart w:id="129" w:name="_2d71af8c_ad42_474e_ae22_b86c69451c4f"/>
      <w:bookmarkEnd w:id="128"/>
      <w:bookmarkEnd w:id="129"/>
      <w:r>
        <w:rPr>
          <w:rFonts w:ascii="Times New Roman;Times;serif" w:hAnsi="Times New Roman;Times;serif"/>
          <w:b/>
          <w:sz w:val="20"/>
        </w:rPr>
        <w:t>PART III</w:t>
      </w:r>
    </w:p>
    <w:p>
      <w:pPr>
        <w:pStyle w:val="TextBody"/>
        <w:pBdr/>
        <w:spacing w:before="0" w:after="240"/>
        <w:ind w:left="0" w:right="0" w:hanging="360"/>
        <w:rPr>
          <w:rFonts w:ascii="Times New Roman;Times;serif" w:hAnsi="Times New Roman;Times;serif"/>
          <w:b/>
          <w:sz w:val="20"/>
        </w:rPr>
      </w:pPr>
      <w:bookmarkStart w:id="130" w:name="Item17FinancialStatements_605652"/>
      <w:bookmarkEnd w:id="130"/>
      <w:r>
        <w:rPr>
          <w:rFonts w:ascii="Times New Roman;Times;serif" w:hAnsi="Times New Roman;Times;serif"/>
          <w:b/>
          <w:sz w:val="20"/>
        </w:rPr>
        <w:t>Item 17.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31" w:name="Item18FinancialStatements_417433"/>
      <w:bookmarkStart w:id="132" w:name="_8946393b_5133_447a_9b75_b8fb9e202d0d"/>
      <w:bookmarkEnd w:id="131"/>
      <w:bookmarkEnd w:id="132"/>
      <w:r>
        <w:rPr>
          <w:rFonts w:ascii="Times New Roman;Times;serif" w:hAnsi="Times New Roman;Times;serif"/>
          <w:b/>
          <w:sz w:val="20"/>
        </w:rPr>
        <w:t>Item 18.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consolidated financial statements of DiDi Global Inc., the subsidiaries and its VIEs are included at the end of this annual report.</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sz w:val="20"/>
        </w:rPr>
      </w:pPr>
      <w:bookmarkStart w:id="133" w:name="Item19Exhibits_917159"/>
      <w:bookmarkStart w:id="134" w:name="_7c4b7048_de97_437e_9864_66f78037996f"/>
      <w:bookmarkEnd w:id="133"/>
      <w:bookmarkEnd w:id="134"/>
      <w:r>
        <w:rPr>
          <w:rFonts w:ascii="Times New Roman;Times;serif" w:hAnsi="Times New Roman;Times;serif"/>
          <w:b/>
          <w:i w:val="false"/>
          <w:caps w:val="false"/>
          <w:smallCaps w:val="false"/>
          <w:sz w:val="20"/>
        </w:rPr>
        <w:t>Item 19.</w:t>
      </w:r>
      <w:r>
        <w:rPr>
          <w:rFonts w:ascii="Times New Roman;Times;serif" w:hAnsi="Times New Roman;Times;serif"/>
          <w:sz w:val="20"/>
        </w:rPr>
        <w:t>        </w:t>
      </w:r>
      <w:r>
        <w:rPr>
          <w:rFonts w:ascii="Times New Roman;Times;serif" w:hAnsi="Times New Roman;Times;serif"/>
          <w:b/>
          <w:sz w:val="20"/>
        </w:rPr>
        <w:t>Exhibits</w:t>
      </w:r>
    </w:p>
    <w:tbl>
      <w:tblPr>
        <w:tblW w:w="10205" w:type="dxa"/>
        <w:jc w:val="left"/>
        <w:tblInd w:w="0" w:type="dxa"/>
        <w:tblCellMar>
          <w:top w:w="0" w:type="dxa"/>
          <w:left w:w="0" w:type="dxa"/>
          <w:bottom w:w="0" w:type="dxa"/>
          <w:right w:w="0" w:type="dxa"/>
        </w:tblCellMar>
      </w:tblPr>
      <w:tblGrid>
        <w:gridCol w:w="1486"/>
        <w:gridCol w:w="326"/>
        <w:gridCol w:w="8393"/>
      </w:tblGrid>
      <w:tr>
        <w:trPr/>
        <w:tc>
          <w:tcPr>
            <w:tcW w:w="14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43610" cy="29210"/>
                      <wp:effectExtent l="0" t="0" r="0" b="0"/>
                      <wp:wrapNone/>
                      <wp:docPr id="277" name="Frame270"/>
                      <a:graphic xmlns:a="http://schemas.openxmlformats.org/drawingml/2006/main">
                        <a:graphicData uri="http://schemas.microsoft.com/office/word/2010/wordprocessingShape">
                          <wps:wsp>
                            <wps:cNvSpPr txBox="1"/>
                            <wps:spPr>
                              <a:xfrm>
                                <a:off x="0" y="0"/>
                                <a:ext cx="943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37.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39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329555" cy="29210"/>
                      <wp:effectExtent l="0" t="0" r="0" b="0"/>
                      <wp:wrapNone/>
                      <wp:docPr id="278" name="Frame271"/>
                      <a:graphic xmlns:a="http://schemas.openxmlformats.org/drawingml/2006/main">
                        <a:graphicData uri="http://schemas.microsoft.com/office/word/2010/wordprocessingShape">
                          <wps:wsp>
                            <wps:cNvSpPr txBox="1"/>
                            <wps:spPr>
                              <a:xfrm>
                                <a:off x="0" y="0"/>
                                <a:ext cx="5329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65pt;height:2.3pt;mso-wrap-distance-left:0pt;mso-wrap-distance-right:0pt;mso-wrap-distance-top:0pt;mso-wrap-distance-bottom:0pt;margin-top:0pt;mso-position-vertical:top;mso-position-vertical-relative:text;margin-left:-209.8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48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26" w:type="dxa"/>
            <w:tcBorders/>
            <w:shd w:fill="auto" w:val="clear"/>
            <w:vAlign w:val="center"/>
          </w:tcPr>
          <w:p>
            <w:pPr>
              <w:pStyle w:val="TableHeading"/>
              <w:spacing w:before="0" w:after="0"/>
              <w:ind w:left="0" w:right="0" w:hanging="0"/>
              <w:jc w:val="center"/>
              <w:rPr/>
            </w:pPr>
            <w:r>
              <w:rPr/>
              <w:t>    </w:t>
            </w:r>
          </w:p>
        </w:tc>
        <w:tc>
          <w:tcPr>
            <w:tcW w:w="8393"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148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39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Form of Eleventh Amended and Restated Memorandum and Articles of Association of the Registrant, as effective upon the completion of this offering (incorporated herein by reference to Exhibit 3.2 to the registration statement on Form F-1 filed with the Securities and Exchange Commission on June 24,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registration statement on Form F-1 filed with the Securities and Exchange Commission on June 24,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Deposit Agreement, among the Registrant, Deutsche Bank Trust Company Americas, as depositary, and holders and beneficial owners of American Depositary Shares evidenced by American Depositary Receipts issued thereunder, dated June 29, 2021 (incorporated herein by reference to Exhibit 4.3 to the registration statement on Form S-8 filed with the Securities and Exchange Commission on January 20, 2022 (File No. 333-262249))</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Amended and Restated Shareholders Agreement of the Registrant, dated as of August 9, 2019, between the Registrant and the holders of the Registrant’s ordinary and preferred shares named therein (incorporated herein by reference to Exhibit 4.4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Amended and Restated Exempted Limited Partnership Agreement of DiDi Global L.P. dated June 23, 2021 (incorporated herein by reference to Exhibit 4.5 to the registration statement on Form F-1 filed with the Securities and Exchange Commission on June 24,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"https://www.sec.gov/Archives/edgar/data/1764757/000104746921001194/a2243272zf-1.htm" \l "ek10201_description_of_share_capital"</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Description of Securities (incorporated herein by reference to the section entitled “Description of Share Capital” in the registration statement on Form F-1 filed with the Securities and Exchange Commission on June 10, 2021 (File No. 333-256977))</w:t>
            </w:r>
            <w:r>
              <w:rPr>
                <w:rStyle w:val="InternetLink"/>
                <w:smallCaps w:val="false"/>
                <w:caps w:val="false"/>
                <w:sz w:val="20"/>
                <w:i w:val="false"/>
                <w:b w:val="false"/>
                <w:rFonts w:ascii="Times New Roman;Times;serif" w:hAnsi="Times New Roman;Times;serif"/>
              </w:rPr>
              <w:fldChar w:fldCharType="end"/>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2017 Equity Incentive Plan, as amended (incorporated herein by reference to Exhibit 10.1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10.2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Form of Employment Agreement between the Registrant and its executive officers (incorporated herein by reference to Exhibit 10.3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Exclusive Business Cooperation Agreement between Beijing DiDi and Xiaoju Technology, effective from May 6, 2013 (incorporated herein by reference to Exhibit 10.4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Executed form of Exclusive Option Agreement among Beijing DiDi, Xiaoju Technology and each of the shareholders of Xiaoju Technology, respectively, effective from March 11, 2016 (incorporated herein by reference to Exhibit 10.5 to the registration statement on Form F-1 filed with the Securities and Exchange Commission on June 10, 2021 (File No. 333-256977))</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486"/>
        <w:gridCol w:w="326"/>
        <w:gridCol w:w="8393"/>
      </w:tblGrid>
      <w:tr>
        <w:trPr/>
        <w:tc>
          <w:tcPr>
            <w:tcW w:w="14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43610" cy="29210"/>
                      <wp:effectExtent l="0" t="0" r="0" b="0"/>
                      <wp:wrapNone/>
                      <wp:docPr id="279" name="Frame272"/>
                      <a:graphic xmlns:a="http://schemas.openxmlformats.org/drawingml/2006/main">
                        <a:graphicData uri="http://schemas.microsoft.com/office/word/2010/wordprocessingShape">
                          <wps:wsp>
                            <wps:cNvSpPr txBox="1"/>
                            <wps:spPr>
                              <a:xfrm>
                                <a:off x="0" y="0"/>
                                <a:ext cx="943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37.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39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329555" cy="29210"/>
                      <wp:effectExtent l="0" t="0" r="0" b="0"/>
                      <wp:wrapNone/>
                      <wp:docPr id="280" name="Frame273"/>
                      <a:graphic xmlns:a="http://schemas.openxmlformats.org/drawingml/2006/main">
                        <a:graphicData uri="http://schemas.microsoft.com/office/word/2010/wordprocessingShape">
                          <wps:wsp>
                            <wps:cNvSpPr txBox="1"/>
                            <wps:spPr>
                              <a:xfrm>
                                <a:off x="0" y="0"/>
                                <a:ext cx="5329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65pt;height:2.3pt;mso-wrap-distance-left:0pt;mso-wrap-distance-right:0pt;mso-wrap-distance-top:0pt;mso-wrap-distance-bottom:0pt;margin-top:0pt;mso-position-vertical:top;mso-position-vertical-relative:text;margin-left:-209.8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48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26" w:type="dxa"/>
            <w:tcBorders/>
            <w:shd w:fill="auto" w:val="clear"/>
            <w:vAlign w:val="center"/>
          </w:tcPr>
          <w:p>
            <w:pPr>
              <w:pStyle w:val="TableHeading"/>
              <w:spacing w:before="0" w:after="0"/>
              <w:ind w:left="0" w:right="0" w:hanging="0"/>
              <w:jc w:val="center"/>
              <w:rPr/>
            </w:pPr>
            <w:r>
              <w:rPr/>
              <w:t>    </w:t>
            </w:r>
          </w:p>
        </w:tc>
        <w:tc>
          <w:tcPr>
            <w:tcW w:w="8393"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Executed form of Share Pledge Agreement among Beijing DiDi, Xiaoju Technology and certain of the shareholders of Xiaoju Technology, effective from May 6, 2013 and, with respect to certain other shareholders of Xiaoju Technology, effective from May 26, 2015 (incorporated herein by reference to Exhibit 10.6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Executed form of Power of Attorney by each of the shareholders of Xiaoju Technology, as currently in effect (incorporated herein by reference to Exhibit 10.7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Executed form of Spousal Consent between Beijing DiDi and each of the shareholders of Xiaoju Technology, respectively, as currently in effect (incorporated herein by reference to Exhibit 10.8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2021 Share Incentive Plan (incorporated herein by reference to Exhibit 10.12 to the registration statement on Form F-1 filed with the Securities and Exchange Commission on June 24,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8d1.htm">
              <w:r>
                <w:rPr>
                  <w:rStyle w:val="InternetLink"/>
                  <w:rFonts w:ascii="Times New Roman;Times;serif" w:hAnsi="Times New Roman;Times;serif"/>
                  <w:b w:val="false"/>
                  <w:i w:val="false"/>
                  <w:caps w:val="false"/>
                  <w:smallCaps w:val="false"/>
                  <w:sz w:val="20"/>
                </w:rPr>
                <w:t>List of principal subsidiaries and consolidated affiliated entity of the Registrant</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filed with the Securities and Exchange Commission on June 10, 2021 (File No. 333-256977))</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2d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2d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13.1**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3d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3d2.htm">
              <w:r>
                <w:rPr>
                  <w:rStyle w:val="InternetLink"/>
                  <w:rFonts w:ascii="Times New Roman;Times;serif" w:hAnsi="Times New Roman;Times;serif"/>
                  <w:b w:val="false"/>
                  <w:i w:val="false"/>
                  <w:caps w:val="false"/>
                  <w:smallCaps w:val="false"/>
                  <w:sz w:val="20"/>
                </w:rPr>
                <w:t>Certification by Principal Financial Officer Pursuant to Section 906 of the Sarbanes-Oxley Act of 2002</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5d1.htm">
              <w:r>
                <w:rPr>
                  <w:rStyle w:val="InternetLink"/>
                  <w:rFonts w:ascii="Times New Roman;Times;serif" w:hAnsi="Times New Roman;Times;serif"/>
                  <w:b w:val="false"/>
                  <w:i w:val="false"/>
                  <w:caps w:val="false"/>
                  <w:smallCaps w:val="false"/>
                  <w:sz w:val="20"/>
                </w:rPr>
                <w:t>Consent of PricewaterhouseCoopers Zhong Tian LLP, an independent registered public accounting firm</w:t>
              </w:r>
            </w:hyperlink>
            <w:r>
              <w:rPr>
                <w:rFonts w:ascii="Times New Roman;Times;serif" w:hAnsi="Times New Roman;Times;serif"/>
                <w:sz w:val="20"/>
              </w:rPr>
              <w:t xml:space="preserve"> </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5d2.htm">
              <w:r>
                <w:rPr>
                  <w:rStyle w:val="InternetLink"/>
                  <w:rFonts w:ascii="Times New Roman;Times;serif" w:hAnsi="Times New Roman;Times;serif"/>
                  <w:b w:val="false"/>
                  <w:i w:val="false"/>
                  <w:caps w:val="false"/>
                  <w:smallCaps w:val="false"/>
                  <w:sz w:val="20"/>
                </w:rPr>
                <w:t>Consent of Fangda Partners</w:t>
              </w:r>
            </w:hyperlink>
            <w:r>
              <w:rPr>
                <w:rFonts w:ascii="Times New Roman;Times;serif" w:hAnsi="Times New Roman;Times;serif"/>
                <w:sz w:val="20"/>
              </w:rPr>
              <w:t xml:space="preserve"> </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5d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pPr>
            <w:hyperlink w:anchor="didi-20221231xex15d4.htm">
              <w:r>
                <w:rPr>
                  <w:rStyle w:val="InternetLink"/>
                  <w:rFonts w:ascii="Times New Roman;Times;serif" w:hAnsi="Times New Roman;Times;serif"/>
                  <w:b w:val="false"/>
                  <w:i w:val="false"/>
                  <w:caps w:val="false"/>
                  <w:smallCaps w:val="false"/>
                  <w:sz w:val="20"/>
                </w:rPr>
                <w:t>Supplemental Submission Pursuant to Item 16I(a) of Form 20-F</w:t>
              </w:r>
            </w:hyperlink>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 tension Label Linkbase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83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977" w:type="dxa"/>
        <w:jc w:val="left"/>
        <w:tblInd w:w="0" w:type="dxa"/>
        <w:tblCellMar>
          <w:top w:w="0" w:type="dxa"/>
          <w:left w:w="0" w:type="dxa"/>
          <w:bottom w:w="0" w:type="dxa"/>
          <w:right w:w="0" w:type="dxa"/>
        </w:tblCellMar>
      </w:tblPr>
      <w:tblGrid>
        <w:gridCol w:w="226"/>
        <w:gridCol w:w="375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375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472" w:type="dxa"/>
        <w:jc w:val="left"/>
        <w:tblInd w:w="0" w:type="dxa"/>
        <w:tblCellMar>
          <w:top w:w="0" w:type="dxa"/>
          <w:left w:w="0" w:type="dxa"/>
          <w:bottom w:w="0" w:type="dxa"/>
          <w:right w:w="0" w:type="dxa"/>
        </w:tblCellMar>
      </w:tblPr>
      <w:tblGrid>
        <w:gridCol w:w="331"/>
        <w:gridCol w:w="4141"/>
      </w:tblGrid>
      <w:tr>
        <w:trPr/>
        <w:tc>
          <w:tcPr>
            <w:tcW w:w="33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414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135" w:name="SIGNATURES_667539"/>
      <w:bookmarkStart w:id="136" w:name="_d716724a_3f83_4939_86e9_f4571be0fecd"/>
      <w:bookmarkEnd w:id="135"/>
      <w:bookmarkEnd w:id="136"/>
      <w:r>
        <w:rPr>
          <w:rFonts w:ascii="Times New Roman;Times;serif" w:hAnsi="Times New Roman;Times;serif"/>
          <w:b/>
          <w:sz w:val="20"/>
        </w:rPr>
        <w:t>SIGNATURES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p>
      <w:pPr>
        <w:pStyle w:val="TextBody"/>
        <w:spacing w:before="0" w:after="0"/>
        <w:ind w:left="0" w:right="0" w:hanging="0"/>
        <w:rPr/>
      </w:pPr>
      <w:r>
        <w:rPr/>
        <w:t>​</w:t>
      </w:r>
    </w:p>
    <w:tbl>
      <w:tblPr>
        <w:tblW w:w="6457" w:type="dxa"/>
        <w:jc w:val="left"/>
        <w:tblInd w:w="0" w:type="dxa"/>
        <w:tblCellMar>
          <w:top w:w="0" w:type="dxa"/>
          <w:left w:w="0" w:type="dxa"/>
          <w:bottom w:w="0" w:type="dxa"/>
          <w:right w:w="0" w:type="dxa"/>
        </w:tblCellMar>
      </w:tblPr>
      <w:tblGrid>
        <w:gridCol w:w="124"/>
        <w:gridCol w:w="406"/>
        <w:gridCol w:w="631"/>
        <w:gridCol w:w="5296"/>
      </w:tblGrid>
      <w:tr>
        <w:trPr/>
        <w:tc>
          <w:tcPr>
            <w:tcW w:w="124"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927"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33" w:type="dxa"/>
            <w:gridSpan w:val="3"/>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DiDi Global Inc.</w:t>
            </w:r>
          </w:p>
        </w:tc>
      </w:tr>
      <w:tr>
        <w:trPr/>
        <w:tc>
          <w:tcPr>
            <w:tcW w:w="124" w:type="dxa"/>
            <w:tcBorders/>
            <w:shd w:fill="auto" w:val="clear"/>
            <w:vAlign w:val="center"/>
          </w:tcPr>
          <w:p>
            <w:pPr>
              <w:pStyle w:val="TableContents"/>
              <w:spacing w:before="0" w:after="0"/>
              <w:ind w:left="0" w:right="0" w:hanging="0"/>
              <w:rPr/>
            </w:pPr>
            <w:r>
              <w:rPr/>
              <w:t>​</w:t>
            </w:r>
          </w:p>
        </w:tc>
        <w:tc>
          <w:tcPr>
            <w:tcW w:w="6333"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592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Will Wei Cheng</w:t>
            </w:r>
          </w:p>
        </w:tc>
      </w:tr>
      <w:tr>
        <w:trPr/>
        <w:tc>
          <w:tcPr>
            <w:tcW w:w="124"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52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 Wei Cheng</w:t>
            </w:r>
          </w:p>
        </w:tc>
      </w:tr>
      <w:tr>
        <w:trPr/>
        <w:tc>
          <w:tcPr>
            <w:tcW w:w="124"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52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of Directors and Chief Executive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 April 28,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37" w:name="_ef6caf41_dc5a_45c3_b1e4_4dafb1fad928"/>
      <w:bookmarkEnd w:id="137"/>
      <w:r>
        <w:rPr>
          <w:rFonts w:ascii="Times New Roman;Times;serif" w:hAnsi="Times New Roman;Times;serif"/>
          <w:b/>
          <w:sz w:val="20"/>
        </w:rPr>
        <w:t>DIDI GLOBAL INC.</w:t>
      </w:r>
    </w:p>
    <w:p>
      <w:pPr>
        <w:pStyle w:val="TextBody"/>
        <w:spacing w:before="0" w:after="240"/>
        <w:ind w:left="0" w:right="0" w:hanging="0"/>
        <w:jc w:val="center"/>
        <w:rPr>
          <w:rFonts w:ascii="Times New Roman;Times;serif" w:hAnsi="Times New Roman;Times;serif"/>
          <w:b/>
          <w:sz w:val="20"/>
        </w:rPr>
      </w:pPr>
      <w:bookmarkStart w:id="138" w:name="_396541"/>
      <w:bookmarkEnd w:id="138"/>
      <w:r>
        <w:rPr>
          <w:rFonts w:ascii="Times New Roman;Times;serif" w:hAnsi="Times New Roman;Times;serif"/>
          <w:b/>
          <w:sz w:val="20"/>
        </w:rPr>
        <w:t>INDEX TO CONSOLIDATED FINANCIAL STATEMENTS</w:t>
      </w:r>
    </w:p>
    <w:tbl>
      <w:tblPr>
        <w:tblW w:w="10205" w:type="dxa"/>
        <w:jc w:val="left"/>
        <w:tblInd w:w="0" w:type="dxa"/>
        <w:tblCellMar>
          <w:top w:w="0" w:type="dxa"/>
          <w:left w:w="0" w:type="dxa"/>
          <w:bottom w:w="0" w:type="dxa"/>
          <w:right w:w="0" w:type="dxa"/>
        </w:tblCellMar>
      </w:tblPr>
      <w:tblGrid>
        <w:gridCol w:w="9168"/>
        <w:gridCol w:w="1037"/>
      </w:tblGrid>
      <w:tr>
        <w:trPr/>
        <w:tc>
          <w:tcPr>
            <w:tcW w:w="91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821680" cy="175260"/>
                      <wp:effectExtent l="0" t="0" r="0" b="0"/>
                      <wp:wrapNone/>
                      <wp:docPr id="281" name="Frame274"/>
                      <a:graphic xmlns:a="http://schemas.openxmlformats.org/drawingml/2006/main">
                        <a:graphicData uri="http://schemas.microsoft.com/office/word/2010/wordprocessingShape">
                          <wps:wsp>
                            <wps:cNvSpPr txBox="1"/>
                            <wps:spPr>
                              <a:xfrm>
                                <a:off x="0" y="0"/>
                                <a:ext cx="5821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58495" cy="175260"/>
                      <wp:effectExtent l="0" t="0" r="0" b="0"/>
                      <wp:wrapNone/>
                      <wp:docPr id="282" name="Frame275"/>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168" w:type="dxa"/>
            <w:tcBorders/>
            <w:shd w:fill="auto" w:val="cle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168"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1424)</w:t>
            </w:r>
          </w:p>
        </w:tc>
        <w:tc>
          <w:tcPr>
            <w:tcW w:w="1037"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 – F-3</w:t>
            </w:r>
          </w:p>
        </w:tc>
      </w:tr>
      <w:tr>
        <w:trPr/>
        <w:tc>
          <w:tcPr>
            <w:tcW w:w="9168" w:type="dxa"/>
            <w:tcBorders/>
            <w:shd w:fill="auto" w:val="clear"/>
            <w:vAlign w:val="center"/>
          </w:tcPr>
          <w:p>
            <w:pPr>
              <w:pStyle w:val="TableContents"/>
              <w:spacing w:before="0" w:after="0"/>
              <w:ind w:left="0" w:right="0" w:hanging="0"/>
              <w:rPr/>
            </w:pPr>
            <w:hyperlink w:anchor="CONSOLIDATEDBALANCESHEETS_450679">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 – F-6</w:t>
            </w:r>
          </w:p>
        </w:tc>
      </w:tr>
      <w:tr>
        <w:trPr/>
        <w:tc>
          <w:tcPr>
            <w:tcW w:w="9168" w:type="dxa"/>
            <w:tcBorders/>
            <w:shd w:fill="auto" w:val="clear"/>
            <w:vAlign w:val="center"/>
          </w:tcPr>
          <w:p>
            <w:pPr>
              <w:pStyle w:val="TableContents"/>
              <w:pBdr/>
              <w:spacing w:before="0" w:after="0"/>
              <w:ind w:left="0" w:right="0" w:hanging="0"/>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2020, 2021 and 2022</w:t>
              </w:r>
            </w:hyperlink>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F-7 - F-8</w:t>
            </w:r>
          </w:p>
        </w:tc>
      </w:tr>
      <w:tr>
        <w:trPr/>
        <w:tc>
          <w:tcPr>
            <w:tcW w:w="9168" w:type="dxa"/>
            <w:tcBorders/>
            <w:shd w:fill="auto" w:val="clear"/>
            <w:vAlign w:val="center"/>
          </w:tcPr>
          <w:p>
            <w:pPr>
              <w:pStyle w:val="TableContents"/>
              <w:pBdr/>
              <w:spacing w:before="0" w:after="0"/>
              <w:ind w:left="0" w:right="0" w:hanging="0"/>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(Deficit) for the Years Ended December 31, 2020, 2021 and 2022</w:t>
              </w:r>
            </w:hyperlink>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F-9 - F-11</w:t>
            </w:r>
          </w:p>
        </w:tc>
      </w:tr>
      <w:tr>
        <w:trPr/>
        <w:tc>
          <w:tcPr>
            <w:tcW w:w="9168" w:type="dxa"/>
            <w:tcBorders/>
            <w:shd w:fill="auto" w:val="clear"/>
            <w:vAlign w:val="center"/>
          </w:tcPr>
          <w:p>
            <w:pPr>
              <w:pStyle w:val="TableContents"/>
              <w:spacing w:before="0" w:after="0"/>
              <w:ind w:left="0" w:right="0" w:hanging="0"/>
              <w:rPr/>
            </w:pPr>
            <w:hyperlink w:anchor="CONSOLIDATEDSTATEMENTSOFCASHFLOWS_504920">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F-12 - F-13</w:t>
            </w:r>
          </w:p>
        </w:tc>
      </w:tr>
      <w:tr>
        <w:trPr/>
        <w:tc>
          <w:tcPr>
            <w:tcW w:w="9168" w:type="dxa"/>
            <w:tcBorders/>
            <w:shd w:fill="auto" w:val="clear"/>
            <w:vAlign w:val="center"/>
          </w:tcPr>
          <w:p>
            <w:pPr>
              <w:pStyle w:val="TableContents"/>
              <w:spacing w:before="0" w:after="0"/>
              <w:ind w:left="0" w:right="0" w:hanging="0"/>
              <w:rPr/>
            </w:pPr>
            <w:hyperlink w:anchor="NOTESTOTHEHISTORICALFINANCIALINFORMATION">
              <w:r>
                <w:rPr>
                  <w:rStyle w:val="InternetLink"/>
                  <w:rFonts w:ascii="Times New Roman;Times;serif" w:hAnsi="Times New Roman;Times;serif"/>
                  <w:b w:val="false"/>
                  <w:i w:val="false"/>
                  <w:caps w:val="false"/>
                  <w:smallCaps w:val="false"/>
                  <w:sz w:val="20"/>
                </w:rPr>
                <w:t>Notes to Consolidated Financial Statements</w:t>
              </w:r>
            </w:hyperlink>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F-14 - F-78</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39" w:name="ReportofIndependentRegisteredPublicAccou"/>
      <w:bookmarkStart w:id="140" w:name="_2c09019d_42d2_442c_987e_7467f2e159c7"/>
      <w:bookmarkEnd w:id="139"/>
      <w:bookmarkEnd w:id="140"/>
      <w:r>
        <w:rPr>
          <w:rFonts w:ascii="Times New Roman;Times;serif" w:hAnsi="Times New Roman;Times;serif"/>
          <w:b/>
          <w:sz w:val="20"/>
        </w:rPr>
        <w:t>Report of Independent Registered Public Accounting Firm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Board of Directors and Shareholders of DiDi Global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DiDi Global Inc. and its subsidiaries (the “Company”) as of December 31, 2022 and 2021, and the related consolidated statements of comprehensive loss, of shareholders’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Committee of Sponsoring Organizations of the Treadway Commission (COSO).</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our opinion, the consolidated financial statements referred to above present fairly, in all material respects, the financial position of the Company as of December 31, 2022 and 2021</w:t>
      </w:r>
      <w:r>
        <w:rPr>
          <w:rFonts w:ascii="Times New Roman;Times;serif" w:hAnsi="Times New Roman;Times;serif"/>
          <w:b/>
          <w:sz w:val="20"/>
        </w:rPr>
        <w:t xml:space="preserve">, </w:t>
      </w:r>
      <w:r>
        <w:rPr>
          <w:rFonts w:ascii="Times New Roman;Times;serif" w:hAnsi="Times New Roman;Times;serif"/>
          <w:sz w:val="20"/>
        </w:rPr>
        <w:t xml:space="preserve">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COSO.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Change in Accounting Principle</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discussed in Note 3 to the consolidated financial statements, the Company changed the manner in which it accounts for credit losses on financial instruments in 2020.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Basis for Opinions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Critical Audit Matters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Goodwill impairment assessment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described in Notes 3.20 and 14 to the consolidated financial statements, as of December 31, 2022, the Company’s goodwill balance was RMB46.4 billion, which is mainly comprised of goodwill of RMB46.3 billion from the China Mobility reporting unit.  Management performed a goodwill impairment test on the China Mobility reporting unit as of September 30, 2022 because events or changes in circumstances indicated that the goodwill balance may be impaired.  Management estimated the fair value of the reporting unit based on the income approach, which considered a number of factors involving judgements, including expected future cash flows and discount rate.  The expected future cash flows were dependent on certain significant assumptions, including the compound annual growth rate of revenue and profit margins. Management concluded that there was no impairment of the China Mobility reporting unit’s goodwill in 2022.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goodwill impairment assessment is a critical audit matter are the significant judgment by management when developing the fair value of the China Mobility reporting unit. This in turn led to a high degree of auditor judgment, subjectivity, and effort in performing procedures and in evaluating management’s significant assumptions related to the compound annual growth rate of revenue, profit margins and discount rate. The audit effort also involved the use of professionals with specialized skill and knowledge.</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These procedures also included, among others, (i) testing management’s process to determine whether there is a goodwill impairment and the process for estimating the fair value of the reporting unit; (ii) evaluating the appropriateness of the valuation model used in determining the fair value of the reporting unit; (iii) testing the completeness, accuracy and relevance of the underlying data used in the valuation model; and (iv) evaluating the reasonableness of management’s significant assumptions related to the compound annual growth rate of revenue,  profit margins and discount rate by considering the current and historical performance of the reporting unit, relevant industry forecasts and market developments. Professionals with specialized skill and knowledge were used to assist in evaluating the reasonableness of the Company’s valuation model and the discount rate assumption.</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/s/PricewaterhouseCoopers Zhong Tian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Beijing, the People’s Republic of China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28,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141" w:name="Report_end"/>
      <w:bookmarkEnd w:id="141"/>
      <w:r>
        <w:rPr>
          <w:rFonts w:ascii="Times New Roman;Times;serif" w:hAnsi="Times New Roman;Times;serif"/>
          <w:sz w:val="20"/>
        </w:rPr>
        <w:t>We have served as the Company’s auditor since 2017.</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42" w:name="_c9b968d0_c3c3_4cba_8898_c010abdffc3a"/>
      <w:bookmarkEnd w:id="142"/>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bookmarkStart w:id="143" w:name="CONSOLIDATEDBALANCESHEETS_450679"/>
      <w:bookmarkEnd w:id="143"/>
      <w:r>
        <w:rPr>
          <w:rFonts w:ascii="Times New Roman;Times;serif" w:hAnsi="Times New Roman;Times;serif"/>
          <w:b/>
          <w:sz w:val="20"/>
        </w:rPr>
        <w:t>CONSOLIDATED BALANCE SHEETS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144" w:name="Tc_UMHj6DdRSU29q1_0_oW0_g_36_0"/>
      <w:bookmarkStart w:id="145" w:name="Tc_zlJro4XbAU6irRc78DvgPQ_35_2"/>
      <w:bookmarkStart w:id="146" w:name="Tc_YbC5wPlsW0uD6JWr1n0v_w_35_0"/>
      <w:bookmarkStart w:id="147" w:name="Tc_xpHMDJPe9UCXjGW3OsRcSg_34_2"/>
      <w:bookmarkStart w:id="148" w:name="Tc_M_cT7V-qx0qnmzQ4X10Fmw_34_0"/>
      <w:bookmarkStart w:id="149" w:name="Tc_FlmqPDY5SUmtjCIVkxR66A_33_2"/>
      <w:bookmarkStart w:id="150" w:name="Tc_BQ-6LoPl7ECt2EB56pC_og_33_0"/>
      <w:bookmarkStart w:id="151" w:name="Tc_obletxojoEueeV9jSravmA_32_2"/>
      <w:bookmarkStart w:id="152" w:name="Tc_4WrFBPAmakOW3jDjtwSFkg_32_0"/>
      <w:bookmarkStart w:id="153" w:name="Tc_Rh7Ei3kUcEm5ocsrfs_-nQ_31_2"/>
      <w:bookmarkStart w:id="154" w:name="Tc_ZzfTu8_jYU2eU9bXRLzk4w_31_0"/>
      <w:bookmarkStart w:id="155" w:name="Tc_Cm83jshuPUmi97vyHhzNjA_30_2"/>
      <w:bookmarkStart w:id="156" w:name="Tc_s-uu8GtP10CcD0Q8nQZQ1Q_30_0"/>
      <w:bookmarkStart w:id="157" w:name="Tc_g05jT8D12UGhhIpPcd3nMw_29_0"/>
      <w:bookmarkStart w:id="158" w:name="Tc_tc79yXGhsE6W1RN4m021sA_28_0"/>
      <w:bookmarkStart w:id="159" w:name="Tc_O1Os82WdHE2joPx0jjLzZQ_27_0"/>
      <w:bookmarkStart w:id="160" w:name="Tc_8AOWOhllBkSEpXyrFJ4Z5Q_26_0"/>
      <w:bookmarkStart w:id="161" w:name="Tc_9oqM7BIb00GEczCQSyR1Tg_25_2"/>
      <w:bookmarkStart w:id="162" w:name="Tc_cgiCkkGNyE2AHjGNZrl0sQ_25_0"/>
      <w:bookmarkStart w:id="163" w:name="Tc_OBiK8LfrdUeDoRxS8MpzQg_24_4"/>
      <w:bookmarkStart w:id="164" w:name="Tc_0OxheEHRZEWwe0DHG81isg_24_2"/>
      <w:bookmarkStart w:id="165" w:name="Tc_k4Tc6Lb0kkuZ3fQOU6Dm2A_24_0"/>
      <w:bookmarkStart w:id="166" w:name="Tc__7BxgnJZq0e4whiM2hv3qw_23_2"/>
      <w:bookmarkStart w:id="167" w:name="Tc_zWVnoixnsUaDjxVINrEDBg_23_0"/>
      <w:bookmarkStart w:id="168" w:name="Tc_jhKQ58RSbkqOLh559Qr80w_22_2"/>
      <w:bookmarkStart w:id="169" w:name="Tc_Wd3RRNmqo0OxER1myDd6eQ_22_0"/>
      <w:bookmarkStart w:id="170" w:name="Tc_MkP1jeK5QUS06L6C8v7Qrw_21_2"/>
      <w:bookmarkStart w:id="171" w:name="Tc_gPFCHmFkf0eQCbTLneBzPQ_21_0"/>
      <w:bookmarkStart w:id="172" w:name="Tc_uSeAvKZo4UOhniPK7D8W-A_20_2"/>
      <w:bookmarkStart w:id="173" w:name="Tc_t9m-ozxSukS_Cmhq3Ztifg_20_0"/>
      <w:bookmarkStart w:id="174" w:name="Tc_azpg7yZQskencO-VDHOa-g_19_2"/>
      <w:bookmarkStart w:id="175" w:name="Tc_AE1UzsS7r0qVXl_7DQwULA_19_0"/>
      <w:bookmarkStart w:id="176" w:name="Tc_P_4eiS2mxUyGfWBkhAtbcw_18_2"/>
      <w:bookmarkStart w:id="177" w:name="Tc_LscatWJNk0e__LSpxRQX6Q_18_0"/>
      <w:bookmarkStart w:id="178" w:name="Tc_gTxiRlDDlkCynWMVqX_IIg_17_2"/>
      <w:bookmarkStart w:id="179" w:name="Tc_UXvIZgvR_0mQEBO84AXqdQ_17_0"/>
      <w:bookmarkStart w:id="180" w:name="Tc_UFmGLPwyxE6pnUZGRRjwUA_16_2"/>
      <w:bookmarkStart w:id="181" w:name="Tc_BZac8QQOikGJElf_762fCA_16_0"/>
      <w:bookmarkStart w:id="182" w:name="Tc_eT4scPzKv0CshqSArsFaTg_15_0"/>
      <w:bookmarkStart w:id="183" w:name="Tc_P6EvhpbrQE2spVUb_6NIoQ_14_0"/>
      <w:bookmarkStart w:id="184" w:name="Tc_wPks-_-RNkOrE4kYxjyHIg_13_2"/>
      <w:bookmarkStart w:id="185" w:name="Tc_567xPqDl2EW7BeT7X8i4YQ_13_0"/>
      <w:bookmarkStart w:id="186" w:name="Tc_pYbrafG8hUuuJA4eFw9a_w_12_2"/>
      <w:bookmarkStart w:id="187" w:name="Tc_5F3sQM5UfkiRVchbRyFh-w_12_0"/>
      <w:bookmarkStart w:id="188" w:name="Tc_oCJJQ1l7hE2dsiJKQZhvhw_11_2"/>
      <w:bookmarkStart w:id="189" w:name="Tc_yEUe9tQXU0uOp21xxvzaqQ_11_0"/>
      <w:bookmarkStart w:id="190" w:name="Tc_vOzvqdhEvUWR47wDx-FX1A_10_2"/>
      <w:bookmarkStart w:id="191" w:name="Tc_-ObVXXshlUuMM3NhDsg8SA_10_0"/>
      <w:bookmarkStart w:id="192" w:name="Tc_Z36uLFMnJ0uclFawPAying_9_2"/>
      <w:bookmarkStart w:id="193" w:name="Tc_clR-fK_Ai0-wpb5wpQtpZg_9_0"/>
      <w:bookmarkStart w:id="194" w:name="Tc_QT4X9PaCoESHn5IiLYqOMw_8_2"/>
      <w:bookmarkStart w:id="195" w:name="Tc_NpKMqealGkipaPSVW3989g_8_0"/>
      <w:bookmarkStart w:id="196" w:name="Tc_cS6arQ4Dp0Oj8DRvpov3iA_7_2"/>
      <w:bookmarkStart w:id="197" w:name="Tc_Yn6W0rNL50qsu2sHwvLTGg_7_0"/>
      <w:bookmarkStart w:id="198" w:name="Tc_ze15F2F30UumTcI2kUZsDQ_6_0"/>
      <w:bookmarkStart w:id="199" w:name="Tc_pyG7_F38XUWL_q_1ivW72A_5_0"/>
      <w:bookmarkStart w:id="200" w:name="Tc_UmwA7a82skyGGTJicTy-0g_4_8"/>
      <w:bookmarkStart w:id="201" w:name="Tc_oN2NJ212NkeXNqLSD3p-qA_3_8"/>
      <w:bookmarkStart w:id="202" w:name="Tc_lltIr4c4okqIArwTqlYSog_3_6"/>
      <w:bookmarkStart w:id="203" w:name="Tc_hLOQrW60v0WWlEH9jH0Vdw_3_4"/>
      <w:bookmarkStart w:id="204" w:name="Tc_jp-G9_ICe0idetPgLjjm1g_2_8"/>
      <w:bookmarkStart w:id="205" w:name="Tc_-WHIRqIaLEeAKB9nJvaMxQ_2_6"/>
      <w:bookmarkStart w:id="206" w:name="Tc_PG8wZcBofkCUjKI7nJzsGg_2_4"/>
      <w:bookmarkStart w:id="207" w:name="Tc_xlPwZSIgCE-hXx8bcsChFw_2_2"/>
      <w:bookmarkStart w:id="208" w:name="Tc_aCLTdHsN3E-6WG9KTc0e1Q_1_4"/>
      <w:bookmarkStart w:id="209" w:name="_1962b98f_782f_4c5d_ac6f_55a2d52d4d0f"/>
      <w:bookmarkStart w:id="210" w:name="Tc_UMHj6DdRSU29q1_0_oW0_g_36_0"/>
      <w:bookmarkStart w:id="211" w:name="Tc_zlJro4XbAU6irRc78DvgPQ_35_2"/>
      <w:bookmarkStart w:id="212" w:name="Tc_YbC5wPlsW0uD6JWr1n0v_w_35_0"/>
      <w:bookmarkStart w:id="213" w:name="Tc_xpHMDJPe9UCXjGW3OsRcSg_34_2"/>
      <w:bookmarkStart w:id="214" w:name="Tc_M_cT7V-qx0qnmzQ4X10Fmw_34_0"/>
      <w:bookmarkStart w:id="215" w:name="Tc_FlmqPDY5SUmtjCIVkxR66A_33_2"/>
      <w:bookmarkStart w:id="216" w:name="Tc_BQ-6LoPl7ECt2EB56pC_og_33_0"/>
      <w:bookmarkStart w:id="217" w:name="Tc_obletxojoEueeV9jSravmA_32_2"/>
      <w:bookmarkStart w:id="218" w:name="Tc_4WrFBPAmakOW3jDjtwSFkg_32_0"/>
      <w:bookmarkStart w:id="219" w:name="Tc_Rh7Ei3kUcEm5ocsrfs_-nQ_31_2"/>
      <w:bookmarkStart w:id="220" w:name="Tc_ZzfTu8_jYU2eU9bXRLzk4w_31_0"/>
      <w:bookmarkStart w:id="221" w:name="Tc_Cm83jshuPUmi97vyHhzNjA_30_2"/>
      <w:bookmarkStart w:id="222" w:name="Tc_s-uu8GtP10CcD0Q8nQZQ1Q_30_0"/>
      <w:bookmarkStart w:id="223" w:name="Tc_g05jT8D12UGhhIpPcd3nMw_29_0"/>
      <w:bookmarkStart w:id="224" w:name="Tc_tc79yXGhsE6W1RN4m021sA_28_0"/>
      <w:bookmarkStart w:id="225" w:name="Tc_O1Os82WdHE2joPx0jjLzZQ_27_0"/>
      <w:bookmarkStart w:id="226" w:name="Tc_8AOWOhllBkSEpXyrFJ4Z5Q_26_0"/>
      <w:bookmarkStart w:id="227" w:name="Tc_9oqM7BIb00GEczCQSyR1Tg_25_2"/>
      <w:bookmarkStart w:id="228" w:name="Tc_cgiCkkGNyE2AHjGNZrl0sQ_25_0"/>
      <w:bookmarkStart w:id="229" w:name="Tc_OBiK8LfrdUeDoRxS8MpzQg_24_4"/>
      <w:bookmarkStart w:id="230" w:name="Tc_0OxheEHRZEWwe0DHG81isg_24_2"/>
      <w:bookmarkStart w:id="231" w:name="Tc_k4Tc6Lb0kkuZ3fQOU6Dm2A_24_0"/>
      <w:bookmarkStart w:id="232" w:name="Tc__7BxgnJZq0e4whiM2hv3qw_23_2"/>
      <w:bookmarkStart w:id="233" w:name="Tc_zWVnoixnsUaDjxVINrEDBg_23_0"/>
      <w:bookmarkStart w:id="234" w:name="Tc_jhKQ58RSbkqOLh559Qr80w_22_2"/>
      <w:bookmarkStart w:id="235" w:name="Tc_Wd3RRNmqo0OxER1myDd6eQ_22_0"/>
      <w:bookmarkStart w:id="236" w:name="Tc_MkP1jeK5QUS06L6C8v7Qrw_21_2"/>
      <w:bookmarkStart w:id="237" w:name="Tc_gPFCHmFkf0eQCbTLneBzPQ_21_0"/>
      <w:bookmarkStart w:id="238" w:name="Tc_uSeAvKZo4UOhniPK7D8W-A_20_2"/>
      <w:bookmarkStart w:id="239" w:name="Tc_t9m-ozxSukS_Cmhq3Ztifg_20_0"/>
      <w:bookmarkStart w:id="240" w:name="Tc_azpg7yZQskencO-VDHOa-g_19_2"/>
      <w:bookmarkStart w:id="241" w:name="Tc_AE1UzsS7r0qVXl_7DQwULA_19_0"/>
      <w:bookmarkStart w:id="242" w:name="Tc_P_4eiS2mxUyGfWBkhAtbcw_18_2"/>
      <w:bookmarkStart w:id="243" w:name="Tc_LscatWJNk0e__LSpxRQX6Q_18_0"/>
      <w:bookmarkStart w:id="244" w:name="Tc_gTxiRlDDlkCynWMVqX_IIg_17_2"/>
      <w:bookmarkStart w:id="245" w:name="Tc_UXvIZgvR_0mQEBO84AXqdQ_17_0"/>
      <w:bookmarkStart w:id="246" w:name="Tc_UFmGLPwyxE6pnUZGRRjwUA_16_2"/>
      <w:bookmarkStart w:id="247" w:name="Tc_BZac8QQOikGJElf_762fCA_16_0"/>
      <w:bookmarkStart w:id="248" w:name="Tc_eT4scPzKv0CshqSArsFaTg_15_0"/>
      <w:bookmarkStart w:id="249" w:name="Tc_P6EvhpbrQE2spVUb_6NIoQ_14_0"/>
      <w:bookmarkStart w:id="250" w:name="Tc_wPks-_-RNkOrE4kYxjyHIg_13_2"/>
      <w:bookmarkStart w:id="251" w:name="Tc_567xPqDl2EW7BeT7X8i4YQ_13_0"/>
      <w:bookmarkStart w:id="252" w:name="Tc_pYbrafG8hUuuJA4eFw9a_w_12_2"/>
      <w:bookmarkStart w:id="253" w:name="Tc_5F3sQM5UfkiRVchbRyFh-w_12_0"/>
      <w:bookmarkStart w:id="254" w:name="Tc_oCJJQ1l7hE2dsiJKQZhvhw_11_2"/>
      <w:bookmarkStart w:id="255" w:name="Tc_yEUe9tQXU0uOp21xxvzaqQ_11_0"/>
      <w:bookmarkStart w:id="256" w:name="Tc_vOzvqdhEvUWR47wDx-FX1A_10_2"/>
      <w:bookmarkStart w:id="257" w:name="Tc_-ObVXXshlUuMM3NhDsg8SA_10_0"/>
      <w:bookmarkStart w:id="258" w:name="Tc_Z36uLFMnJ0uclFawPAying_9_2"/>
      <w:bookmarkStart w:id="259" w:name="Tc_clR-fK_Ai0-wpb5wpQtpZg_9_0"/>
      <w:bookmarkStart w:id="260" w:name="Tc_QT4X9PaCoESHn5IiLYqOMw_8_2"/>
      <w:bookmarkStart w:id="261" w:name="Tc_NpKMqealGkipaPSVW3989g_8_0"/>
      <w:bookmarkStart w:id="262" w:name="Tc_cS6arQ4Dp0Oj8DRvpov3iA_7_2"/>
      <w:bookmarkStart w:id="263" w:name="Tc_Yn6W0rNL50qsu2sHwvLTGg_7_0"/>
      <w:bookmarkStart w:id="264" w:name="Tc_ze15F2F30UumTcI2kUZsDQ_6_0"/>
      <w:bookmarkStart w:id="265" w:name="Tc_pyG7_F38XUWL_q_1ivW72A_5_0"/>
      <w:bookmarkStart w:id="266" w:name="Tc_UmwA7a82skyGGTJicTy-0g_4_8"/>
      <w:bookmarkStart w:id="267" w:name="Tc_oN2NJ212NkeXNqLSD3p-qA_3_8"/>
      <w:bookmarkStart w:id="268" w:name="Tc_lltIr4c4okqIArwTqlYSog_3_6"/>
      <w:bookmarkStart w:id="269" w:name="Tc_hLOQrW60v0WWlEH9jH0Vdw_3_4"/>
      <w:bookmarkStart w:id="270" w:name="Tc_jp-G9_ICe0idetPgLjjm1g_2_8"/>
      <w:bookmarkStart w:id="271" w:name="Tc_-WHIRqIaLEeAKB9nJvaMxQ_2_6"/>
      <w:bookmarkStart w:id="272" w:name="Tc_PG8wZcBofkCUjKI7nJzsGg_2_4"/>
      <w:bookmarkStart w:id="273" w:name="Tc_xlPwZSIgCE-hXx8bcsChFw_2_2"/>
      <w:bookmarkStart w:id="274" w:name="Tc_aCLTdHsN3E-6WG9KTc0e1Q_1_4"/>
      <w:bookmarkStart w:id="275" w:name="_1962b98f_782f_4c5d_ac6f_55a2d52d4d0f"/>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10205" w:type="dxa"/>
        <w:jc w:val="left"/>
        <w:tblInd w:w="0" w:type="dxa"/>
        <w:tblCellMar>
          <w:top w:w="0" w:type="dxa"/>
          <w:left w:w="0" w:type="dxa"/>
          <w:bottom w:w="0" w:type="dxa"/>
          <w:right w:w="0" w:type="dxa"/>
        </w:tblCellMar>
      </w:tblPr>
      <w:tblGrid>
        <w:gridCol w:w="5072"/>
        <w:gridCol w:w="326"/>
        <w:gridCol w:w="466"/>
        <w:gridCol w:w="326"/>
        <w:gridCol w:w="1141"/>
        <w:gridCol w:w="326"/>
        <w:gridCol w:w="1141"/>
        <w:gridCol w:w="326"/>
        <w:gridCol w:w="1081"/>
      </w:tblGrid>
      <w:tr>
        <w:trPr/>
        <w:tc>
          <w:tcPr>
            <w:tcW w:w="50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220720" cy="175260"/>
                      <wp:effectExtent l="0" t="0" r="0" b="0"/>
                      <wp:wrapNone/>
                      <wp:docPr id="283" name="Frame276"/>
                      <a:graphic xmlns:a="http://schemas.openxmlformats.org/drawingml/2006/main">
                        <a:graphicData uri="http://schemas.microsoft.com/office/word/2010/wordprocessingShape">
                          <wps:wsp>
                            <wps:cNvSpPr txBox="1"/>
                            <wps:spPr>
                              <a:xfrm>
                                <a:off x="0" y="0"/>
                                <a:ext cx="32207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95910" cy="175260"/>
                      <wp:effectExtent l="0" t="0" r="0" b="0"/>
                      <wp:wrapNone/>
                      <wp:docPr id="285" name="Frame27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6"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24535" cy="175260"/>
                      <wp:effectExtent l="0" t="0" r="0" b="0"/>
                      <wp:wrapNone/>
                      <wp:docPr id="287" name="Frame28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8"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24535" cy="175260"/>
                      <wp:effectExtent l="0" t="0" r="0" b="0"/>
                      <wp:wrapNone/>
                      <wp:docPr id="289" name="Frame28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0"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86435" cy="175260"/>
                      <wp:effectExtent l="0" t="0" r="0" b="0"/>
                      <wp:wrapNone/>
                      <wp:docPr id="291" name="Frame284"/>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0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0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43,429,717</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20,855,252</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3,023,727</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443,758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803,956</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116,563</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13,343,754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17,548,218</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2,544,252</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Accounts and notes receivable, net of allowance for credit losses of RMB650,888 and RMB692,722, respectively</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2,831,123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2,251,633</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326,456</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Loans receivable, net of allowance for credit losses of RMB604,506 and RMB460,212, respectively</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4,644,298</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5,338,627</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774,028</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from related parties, current portion</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115,239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61,423</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8,905</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receivables and other current assets, net</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3,957,975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4,192,952</w:t>
            </w:r>
          </w:p>
        </w:tc>
        <w:tc>
          <w:tcPr>
            <w:tcW w:w="326" w:type="dxa"/>
            <w:tcBorders/>
            <w:shd w:fill="CCEEFF" w:val="clear"/>
            <w:vAlign w:val="center"/>
          </w:tcPr>
          <w:p>
            <w:pPr>
              <w:pStyle w:val="TableContents"/>
              <w:spacing w:before="0" w:after="1"/>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607,922</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68,765,864</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51,052,061</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7,401,853</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  </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 securities and other investments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18,634,493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18,010,307</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2,611,249</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Long-term investments, net</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4,614,724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4,734,084</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686,378</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1,287,550</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1,392,917</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201,954</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8,000,218</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5,718,324</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829,079</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3,286,145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1,724,141</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249,977</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6,724,117</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Non-current restricted cash</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107,597</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17,333</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tax assets, net</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224,491</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289,191</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41,929</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 due from related parties, non-current portion</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36,466</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5,287</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non-current assets, net</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1,699,470</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1,860,865</w:t>
            </w:r>
          </w:p>
        </w:tc>
        <w:tc>
          <w:tcPr>
            <w:tcW w:w="326" w:type="dxa"/>
            <w:tcBorders/>
            <w:shd w:fill="CCEEFF" w:val="clear"/>
            <w:vAlign w:val="center"/>
          </w:tcPr>
          <w:p>
            <w:pPr>
              <w:pStyle w:val="TableContents"/>
              <w:spacing w:before="0" w:after="1"/>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269,800</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84,232,271</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80,161,211</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11,622,283</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152,998,135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131,213,272</w:t>
            </w:r>
          </w:p>
        </w:tc>
        <w:tc>
          <w:tcPr>
            <w:tcW w:w="326" w:type="dxa"/>
            <w:tcBorders/>
            <w:shd w:fill="CCEEFF" w:val="clear"/>
            <w:vAlign w:val="center"/>
          </w:tcPr>
          <w:p>
            <w:pPr>
              <w:pStyle w:val="TableContents"/>
              <w:spacing w:before="0" w:after="1"/>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19,024,136</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LIABILITIES, MEZZANINE EQUITY AND SHAREHOLDERS’ EQUITY </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b/>
                <w:sz w:val="20"/>
              </w:rPr>
              <w:t>Current liabilities (including amounts of the VIEs and their subsidiaries without recourse to the primary beneficiary of RMB10,601,697</w:t>
            </w:r>
            <w:r>
              <w:rPr>
                <w:rFonts w:ascii="Times New Roman;Times;serif" w:hAnsi="Times New Roman;Times;serif"/>
                <w:sz w:val="20"/>
              </w:rPr>
              <w:t xml:space="preserve"> </w:t>
            </w:r>
            <w:r>
              <w:rPr>
                <w:rFonts w:ascii="Times New Roman;Times;serif" w:hAnsi="Times New Roman;Times;serif"/>
                <w:b/>
                <w:sz w:val="20"/>
              </w:rPr>
              <w:t>and RMB 7,666,369</w:t>
            </w:r>
            <w:r>
              <w:rPr>
                <w:rFonts w:ascii="Times New Roman;Times;serif" w:hAnsi="Times New Roman;Times;serif"/>
                <w:sz w:val="20"/>
              </w:rPr>
              <w:t xml:space="preserve"> </w:t>
            </w:r>
            <w:r>
              <w:rPr>
                <w:rFonts w:ascii="Times New Roman;Times;serif" w:hAnsi="Times New Roman;Times;serif"/>
                <w:b/>
                <w:sz w:val="20"/>
              </w:rPr>
              <w:t>as of December 31, 2021 and 2022, respectively):</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borrowings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6,838,328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4,940,310</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716,278</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Accounts and notes payable</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4,624,953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2,870,046</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416,118</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revenue and customer advances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3.24</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546,003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565,058</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81,926</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516,877</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523,020</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75,831</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to related parties, current portion</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249,402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200,115</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29,014</w:t>
            </w:r>
          </w:p>
        </w:tc>
      </w:tr>
      <w:tr>
        <w:trPr/>
        <w:tc>
          <w:tcPr>
            <w:tcW w:w="507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11,647,222</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11,149,921</w:t>
            </w:r>
          </w:p>
        </w:tc>
        <w:tc>
          <w:tcPr>
            <w:tcW w:w="326" w:type="dxa"/>
            <w:tcBorders/>
            <w:shd w:fill="CCEEFF" w:val="clear"/>
            <w:vAlign w:val="center"/>
          </w:tcPr>
          <w:p>
            <w:pPr>
              <w:pStyle w:val="TableContents"/>
              <w:spacing w:before="0" w:after="1"/>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1,616,585</w:t>
            </w:r>
          </w:p>
        </w:tc>
      </w:tr>
      <w:tr>
        <w:trPr/>
        <w:tc>
          <w:tcPr>
            <w:tcW w:w="507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24,422,785</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20,248,470</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2,935,752</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CONSOLIDATED BALANCE SHEETS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276" w:name="Tc_u7ckHUsWyESwfKH2xhiRcw_17_0"/>
      <w:bookmarkStart w:id="277" w:name="Tc_5w59aIrA60yKDrkVN3qg2w_16_2"/>
      <w:bookmarkStart w:id="278" w:name="Tc_K4OI70gO1kqzljm1CaYpqg_16_0"/>
      <w:bookmarkStart w:id="279" w:name="Tc_vCiJKN3uYUei0Zaz04Hfzg_15_2"/>
      <w:bookmarkStart w:id="280" w:name="Tc_n6yFZDvirU-k54FyayOSTw_15_0"/>
      <w:bookmarkStart w:id="281" w:name="Tc_lNBfzES-_0Shoz57mr6A3A_14_2"/>
      <w:bookmarkStart w:id="282" w:name="Tc_JwCe8DuWA0G5jla8lZ0IwQ_14_0"/>
      <w:bookmarkStart w:id="283" w:name="Tc_GVoQ5-m6L0C3yl9uWRv4Ig_13_2"/>
      <w:bookmarkStart w:id="284" w:name="Tc_FVB1ejH0LU-r_rpSOD5Evg_13_0"/>
      <w:bookmarkStart w:id="285" w:name="Tc_fSxPYAoYhEWFV3kQGfCN5g_12_0"/>
      <w:bookmarkStart w:id="286" w:name="Tc_OraJLHid6kueHTa3yIumoA_11_0"/>
      <w:bookmarkStart w:id="287" w:name="Tc_zwEHJ0xw2UONMieTM6MPFA_10_0"/>
      <w:bookmarkStart w:id="288" w:name="Tc_dEnG3AySvU-oeogGgldR9w_9_4"/>
      <w:bookmarkStart w:id="289" w:name="Tc_qSS9jHFS-U-2vdUDJWo5hQ_9_2"/>
      <w:bookmarkStart w:id="290" w:name="Tc_94iGaqhL4UGz3ZvjMsVoTA_9_0"/>
      <w:bookmarkStart w:id="291" w:name="Tc_4BtD-sM_zECykOwGyqg8Sg_8_2"/>
      <w:bookmarkStart w:id="292" w:name="Tc_yb4IQHmGV02xflq8vGuAwA_8_0"/>
      <w:bookmarkStart w:id="293" w:name="Tc_FxBDwvKG40uN-w5WuCfOcw_7_2"/>
      <w:bookmarkStart w:id="294" w:name="Tc_9q17FbFQ4UewTwARpsoljw_7_0"/>
      <w:bookmarkStart w:id="295" w:name="Tc_Sal7Eth4aUmwYIcGStdu5A_6_2"/>
      <w:bookmarkStart w:id="296" w:name="Tc_Uz-8ZTbozU2qertoXAERiw_6_0"/>
      <w:bookmarkStart w:id="297" w:name="Tc_8baryb_ZcEOvQnQpXXCBIQ_5_0"/>
      <w:bookmarkStart w:id="298" w:name="Tc_wBelSxY7fECaKs1pRJfe2Q_4_8"/>
      <w:bookmarkStart w:id="299" w:name="Tc_2tUCyGyTPU2V_EYjfUmtUw_3_8"/>
      <w:bookmarkStart w:id="300" w:name="Tc_jJmnyB5eK02ZFCL2oexnyQ_3_6"/>
      <w:bookmarkStart w:id="301" w:name="Tc_X0YLt-gt4UOde3ESy6BPJQ_3_4"/>
      <w:bookmarkStart w:id="302" w:name="Tc_5vTj6jS8R0WjcB15-lOM1Q_2_8"/>
      <w:bookmarkStart w:id="303" w:name="Tc_UT53ONKNtkaHXOK0BYOYRg_2_6"/>
      <w:bookmarkStart w:id="304" w:name="Tc_qtFC1rnIv064lXxwcHxTrQ_2_4"/>
      <w:bookmarkStart w:id="305" w:name="Tc_mYx-_ptB70Sui8D6jlIITQ_2_2"/>
      <w:bookmarkStart w:id="306" w:name="Tc_Zbd_uJmT2ECYuVRklOa25Q_1_4"/>
      <w:bookmarkStart w:id="307" w:name="_d8f7055d_624d_46c4_aa7c_d19d36319d48"/>
      <w:bookmarkStart w:id="308" w:name="Tc_u7ckHUsWyESwfKH2xhiRcw_17_0"/>
      <w:bookmarkStart w:id="309" w:name="Tc_5w59aIrA60yKDrkVN3qg2w_16_2"/>
      <w:bookmarkStart w:id="310" w:name="Tc_K4OI70gO1kqzljm1CaYpqg_16_0"/>
      <w:bookmarkStart w:id="311" w:name="Tc_vCiJKN3uYUei0Zaz04Hfzg_15_2"/>
      <w:bookmarkStart w:id="312" w:name="Tc_n6yFZDvirU-k54FyayOSTw_15_0"/>
      <w:bookmarkStart w:id="313" w:name="Tc_lNBfzES-_0Shoz57mr6A3A_14_2"/>
      <w:bookmarkStart w:id="314" w:name="Tc_JwCe8DuWA0G5jla8lZ0IwQ_14_0"/>
      <w:bookmarkStart w:id="315" w:name="Tc_GVoQ5-m6L0C3yl9uWRv4Ig_13_2"/>
      <w:bookmarkStart w:id="316" w:name="Tc_FVB1ejH0LU-r_rpSOD5Evg_13_0"/>
      <w:bookmarkStart w:id="317" w:name="Tc_fSxPYAoYhEWFV3kQGfCN5g_12_0"/>
      <w:bookmarkStart w:id="318" w:name="Tc_OraJLHid6kueHTa3yIumoA_11_0"/>
      <w:bookmarkStart w:id="319" w:name="Tc_zwEHJ0xw2UONMieTM6MPFA_10_0"/>
      <w:bookmarkStart w:id="320" w:name="Tc_dEnG3AySvU-oeogGgldR9w_9_4"/>
      <w:bookmarkStart w:id="321" w:name="Tc_qSS9jHFS-U-2vdUDJWo5hQ_9_2"/>
      <w:bookmarkStart w:id="322" w:name="Tc_94iGaqhL4UGz3ZvjMsVoTA_9_0"/>
      <w:bookmarkStart w:id="323" w:name="Tc_4BtD-sM_zECykOwGyqg8Sg_8_2"/>
      <w:bookmarkStart w:id="324" w:name="Tc_yb4IQHmGV02xflq8vGuAwA_8_0"/>
      <w:bookmarkStart w:id="325" w:name="Tc_FxBDwvKG40uN-w5WuCfOcw_7_2"/>
      <w:bookmarkStart w:id="326" w:name="Tc_9q17FbFQ4UewTwARpsoljw_7_0"/>
      <w:bookmarkStart w:id="327" w:name="Tc_Sal7Eth4aUmwYIcGStdu5A_6_2"/>
      <w:bookmarkStart w:id="328" w:name="Tc_Uz-8ZTbozU2qertoXAERiw_6_0"/>
      <w:bookmarkStart w:id="329" w:name="Tc_8baryb_ZcEOvQnQpXXCBIQ_5_0"/>
      <w:bookmarkStart w:id="330" w:name="Tc_wBelSxY7fECaKs1pRJfe2Q_4_8"/>
      <w:bookmarkStart w:id="331" w:name="Tc_2tUCyGyTPU2V_EYjfUmtUw_3_8"/>
      <w:bookmarkStart w:id="332" w:name="Tc_jJmnyB5eK02ZFCL2oexnyQ_3_6"/>
      <w:bookmarkStart w:id="333" w:name="Tc_X0YLt-gt4UOde3ESy6BPJQ_3_4"/>
      <w:bookmarkStart w:id="334" w:name="Tc_5vTj6jS8R0WjcB15-lOM1Q_2_8"/>
      <w:bookmarkStart w:id="335" w:name="Tc_UT53ONKNtkaHXOK0BYOYRg_2_6"/>
      <w:bookmarkStart w:id="336" w:name="Tc_qtFC1rnIv064lXxwcHxTrQ_2_4"/>
      <w:bookmarkStart w:id="337" w:name="Tc_mYx-_ptB70Sui8D6jlIITQ_2_2"/>
      <w:bookmarkStart w:id="338" w:name="Tc_Zbd_uJmT2ECYuVRklOa25Q_1_4"/>
      <w:bookmarkStart w:id="339" w:name="_d8f7055d_624d_46c4_aa7c_d19d36319d48"/>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tbl>
      <w:tblPr>
        <w:tblW w:w="10205" w:type="dxa"/>
        <w:jc w:val="left"/>
        <w:tblInd w:w="0" w:type="dxa"/>
        <w:tblCellMar>
          <w:top w:w="0" w:type="dxa"/>
          <w:left w:w="0" w:type="dxa"/>
          <w:bottom w:w="0" w:type="dxa"/>
          <w:right w:w="0" w:type="dxa"/>
        </w:tblCellMar>
      </w:tblPr>
      <w:tblGrid>
        <w:gridCol w:w="5342"/>
        <w:gridCol w:w="326"/>
        <w:gridCol w:w="451"/>
        <w:gridCol w:w="326"/>
        <w:gridCol w:w="1036"/>
        <w:gridCol w:w="326"/>
        <w:gridCol w:w="1036"/>
        <w:gridCol w:w="326"/>
        <w:gridCol w:w="1036"/>
      </w:tblGrid>
      <w:tr>
        <w:trPr/>
        <w:tc>
          <w:tcPr>
            <w:tcW w:w="5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392170" cy="175260"/>
                      <wp:effectExtent l="0" t="0" r="0" b="0"/>
                      <wp:wrapNone/>
                      <wp:docPr id="292" name="Frame285"/>
                      <a:graphic xmlns:a="http://schemas.openxmlformats.org/drawingml/2006/main">
                        <a:graphicData uri="http://schemas.microsoft.com/office/word/2010/wordprocessingShape">
                          <wps:wsp>
                            <wps:cNvSpPr txBox="1"/>
                            <wps:spPr>
                              <a:xfrm>
                                <a:off x="0" y="0"/>
                                <a:ext cx="3392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3"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86385" cy="175260"/>
                      <wp:effectExtent l="0" t="0" r="0" b="0"/>
                      <wp:wrapNone/>
                      <wp:docPr id="294" name="Frame287"/>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5"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57860" cy="175260"/>
                      <wp:effectExtent l="0" t="0" r="0" b="0"/>
                      <wp:wrapNone/>
                      <wp:docPr id="296" name="Frame28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7"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7860" cy="175260"/>
                      <wp:effectExtent l="0" t="0" r="0" b="0"/>
                      <wp:wrapNone/>
                      <wp:docPr id="298" name="Frame29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99"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57860" cy="175260"/>
                      <wp:effectExtent l="0" t="0" r="0" b="0"/>
                      <wp:wrapNone/>
                      <wp:docPr id="300" name="Frame2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3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Non-current liabilities (including amounts of the VIEs and their subsidiaries without recourse to the primary beneficiary of RMB262,183</w:t>
            </w:r>
            <w:r>
              <w:rPr>
                <w:rFonts w:ascii="Times New Roman;Times;serif" w:hAnsi="Times New Roman;Times;serif"/>
                <w:sz w:val="20"/>
              </w:rPr>
              <w:t xml:space="preserve"> </w:t>
            </w:r>
            <w:r>
              <w:rPr>
                <w:rFonts w:ascii="Times New Roman;Times;serif" w:hAnsi="Times New Roman;Times;serif"/>
                <w:b/>
                <w:sz w:val="20"/>
              </w:rPr>
              <w:t>and RMB 215,955</w:t>
            </w:r>
            <w:r>
              <w:rPr>
                <w:rFonts w:ascii="Times New Roman;Times;serif" w:hAnsi="Times New Roman;Times;serif"/>
                <w:sz w:val="20"/>
              </w:rPr>
              <w:t xml:space="preserve"> </w:t>
            </w:r>
            <w:r>
              <w:rPr>
                <w:rFonts w:ascii="Times New Roman;Times;serif" w:hAnsi="Times New Roman;Times;serif"/>
                <w:b/>
                <w:sz w:val="20"/>
              </w:rPr>
              <w:t>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borrowings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1,681,370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149,925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 non-current portion</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654,877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734,884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106,548</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485,778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359,668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52,147</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 due to related parties, non-current portion</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39,348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306,575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256,279</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37,157</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3,128,600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1,540,104</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223,294</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27,551,385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21,788,574</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3,159,046</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Mezzanine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12,257,889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13,010,576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1,886,356</w:t>
            </w:r>
          </w:p>
        </w:tc>
      </w:tr>
      <w:tr>
        <w:trPr/>
        <w:tc>
          <w:tcPr>
            <w:tcW w:w="534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non-controlling interests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1,069,357</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1,069,357</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155,042</w:t>
            </w:r>
          </w:p>
        </w:tc>
      </w:tr>
      <w:tr>
        <w:trPr/>
        <w:tc>
          <w:tcPr>
            <w:tcW w:w="534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Mezzanine Equity</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13,327,246</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14,079,933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2,041,398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bookmarkStart w:id="340" w:name="BALANCESHEETSContinued_786770"/>
      <w:bookmarkEnd w:id="340"/>
      <w:r>
        <w:rPr>
          <w:rFonts w:ascii="Times New Roman;Times;serif" w:hAnsi="Times New Roman;Times;serif"/>
          <w:b/>
          <w:sz w:val="20"/>
        </w:rPr>
        <w:t>CONSOLIDATED BALANCE SHEETS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341" w:name="Tc_c-qdLtG1okOCrKRiHp4X-Q_17_0"/>
      <w:bookmarkStart w:id="342" w:name="Tc_Z9o8ANSAE0iDykVd50pRSA_16_0"/>
      <w:bookmarkStart w:id="343" w:name="Tc_Qk7VbweCckC3Af_mOGZtww_15_0"/>
      <w:bookmarkStart w:id="344" w:name="Tc__pZN1SqkW02M1ASCd_rNVA_14_0"/>
      <w:bookmarkStart w:id="345" w:name="Tc_u4Ei-ZkZy0q2BGPeCKSGtw_13_0"/>
      <w:bookmarkStart w:id="346" w:name="Tc_Tsy-_TumakGJI1gFIUOWxw_12_0"/>
      <w:bookmarkStart w:id="347" w:name="Tc_cEVxTETGHEaaW6hNTWKpwg_11_0"/>
      <w:bookmarkStart w:id="348" w:name="Tc_tYzxI-t2TEWqXKdZjT1M9Q_10_0"/>
      <w:bookmarkStart w:id="349" w:name="Tc_g7vIjUBsrUGX77lZ6oVQ8g_9_0"/>
      <w:bookmarkStart w:id="350" w:name="Tc_yrLtUKgDY0-JZXu6pmJgJA_8_2"/>
      <w:bookmarkStart w:id="351" w:name="Tc_gGxq56xMUUe5xCQ4DytYOA_8_0"/>
      <w:bookmarkStart w:id="352" w:name="Tc_eeV9NW8Rg0O4qIuqKHxDNQ_7_2"/>
      <w:bookmarkStart w:id="353" w:name="Tc_NuHd1Dfd_kqUsaSBC5GrRg_7_0"/>
      <w:bookmarkStart w:id="354" w:name="Tc_gSqEiicf_ECd-QiamIK_JA_6_0"/>
      <w:bookmarkStart w:id="355" w:name="Tc_obAXTTKp206mRUymS8ynLg_5_0"/>
      <w:bookmarkStart w:id="356" w:name="Tc_bdFGbYmIrkaLvwMgg0iJIA_4_8"/>
      <w:bookmarkStart w:id="357" w:name="Tc_dZ6UboYVUEKPKa_qvX0iTA_3_8"/>
      <w:bookmarkStart w:id="358" w:name="Tc_6A0PEAwdDE63nSvjfXE6uQ_3_6"/>
      <w:bookmarkStart w:id="359" w:name="Tc_oqRJ5sjYN0eIPsTW44lCIg_3_4"/>
      <w:bookmarkStart w:id="360" w:name="Tc_hv95D0jUlECFKDqcpMvCsA_2_8"/>
      <w:bookmarkStart w:id="361" w:name="Tc_aDF2xdbS8kuXER08ykVdCA_2_6"/>
      <w:bookmarkStart w:id="362" w:name="Tc_iyT9L-fIMEqji-xWti2w2w_2_4"/>
      <w:bookmarkStart w:id="363" w:name="Tc_t-OOcsiRIEuCAh8_8zrbMg_2_2"/>
      <w:bookmarkStart w:id="364" w:name="Tc_RqpSV3GGu0CKeBDvxxsrqA_1_4"/>
      <w:bookmarkStart w:id="365" w:name="_8c079be9_ee75_493b_9d8f_2004e7543198"/>
      <w:bookmarkStart w:id="366" w:name="Tc_c-qdLtG1okOCrKRiHp4X-Q_17_0"/>
      <w:bookmarkStart w:id="367" w:name="Tc_Z9o8ANSAE0iDykVd50pRSA_16_0"/>
      <w:bookmarkStart w:id="368" w:name="Tc_Qk7VbweCckC3Af_mOGZtww_15_0"/>
      <w:bookmarkStart w:id="369" w:name="Tc__pZN1SqkW02M1ASCd_rNVA_14_0"/>
      <w:bookmarkStart w:id="370" w:name="Tc_u4Ei-ZkZy0q2BGPeCKSGtw_13_0"/>
      <w:bookmarkStart w:id="371" w:name="Tc_Tsy-_TumakGJI1gFIUOWxw_12_0"/>
      <w:bookmarkStart w:id="372" w:name="Tc_cEVxTETGHEaaW6hNTWKpwg_11_0"/>
      <w:bookmarkStart w:id="373" w:name="Tc_tYzxI-t2TEWqXKdZjT1M9Q_10_0"/>
      <w:bookmarkStart w:id="374" w:name="Tc_g7vIjUBsrUGX77lZ6oVQ8g_9_0"/>
      <w:bookmarkStart w:id="375" w:name="Tc_yrLtUKgDY0-JZXu6pmJgJA_8_2"/>
      <w:bookmarkStart w:id="376" w:name="Tc_gGxq56xMUUe5xCQ4DytYOA_8_0"/>
      <w:bookmarkStart w:id="377" w:name="Tc_eeV9NW8Rg0O4qIuqKHxDNQ_7_2"/>
      <w:bookmarkStart w:id="378" w:name="Tc_NuHd1Dfd_kqUsaSBC5GrRg_7_0"/>
      <w:bookmarkStart w:id="379" w:name="Tc_gSqEiicf_ECd-QiamIK_JA_6_0"/>
      <w:bookmarkStart w:id="380" w:name="Tc_obAXTTKp206mRUymS8ynLg_5_0"/>
      <w:bookmarkStart w:id="381" w:name="Tc_bdFGbYmIrkaLvwMgg0iJIA_4_8"/>
      <w:bookmarkStart w:id="382" w:name="Tc_dZ6UboYVUEKPKa_qvX0iTA_3_8"/>
      <w:bookmarkStart w:id="383" w:name="Tc_6A0PEAwdDE63nSvjfXE6uQ_3_6"/>
      <w:bookmarkStart w:id="384" w:name="Tc_oqRJ5sjYN0eIPsTW44lCIg_3_4"/>
      <w:bookmarkStart w:id="385" w:name="Tc_hv95D0jUlECFKDqcpMvCsA_2_8"/>
      <w:bookmarkStart w:id="386" w:name="Tc_aDF2xdbS8kuXER08ykVdCA_2_6"/>
      <w:bookmarkStart w:id="387" w:name="Tc_iyT9L-fIMEqji-xWti2w2w_2_4"/>
      <w:bookmarkStart w:id="388" w:name="Tc_t-OOcsiRIEuCAh8_8zrbMg_2_2"/>
      <w:bookmarkStart w:id="389" w:name="Tc_RqpSV3GGu0CKeBDvxxsrqA_1_4"/>
      <w:bookmarkStart w:id="390" w:name="_8c079be9_ee75_493b_9d8f_2004e7543198"/>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tbl>
      <w:tblPr>
        <w:tblW w:w="10205" w:type="dxa"/>
        <w:jc w:val="left"/>
        <w:tblInd w:w="0" w:type="dxa"/>
        <w:tblCellMar>
          <w:top w:w="0" w:type="dxa"/>
          <w:left w:w="0" w:type="dxa"/>
          <w:bottom w:w="0" w:type="dxa"/>
          <w:right w:w="0" w:type="dxa"/>
        </w:tblCellMar>
      </w:tblPr>
      <w:tblGrid>
        <w:gridCol w:w="4874"/>
        <w:gridCol w:w="326"/>
        <w:gridCol w:w="451"/>
        <w:gridCol w:w="326"/>
        <w:gridCol w:w="1211"/>
        <w:gridCol w:w="326"/>
        <w:gridCol w:w="1211"/>
        <w:gridCol w:w="326"/>
        <w:gridCol w:w="1154"/>
      </w:tblGrid>
      <w:tr>
        <w:trPr/>
        <w:tc>
          <w:tcPr>
            <w:tcW w:w="4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094990" cy="175260"/>
                      <wp:effectExtent l="0" t="0" r="0" b="0"/>
                      <wp:wrapNone/>
                      <wp:docPr id="301" name="Frame294"/>
                      <a:graphic xmlns:a="http://schemas.openxmlformats.org/drawingml/2006/main">
                        <a:graphicData uri="http://schemas.microsoft.com/office/word/2010/wordprocessingShape">
                          <wps:wsp>
                            <wps:cNvSpPr txBox="1"/>
                            <wps:spPr>
                              <a:xfrm>
                                <a:off x="0" y="0"/>
                                <a:ext cx="3094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2"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86385" cy="175260"/>
                      <wp:effectExtent l="0" t="0" r="0" b="0"/>
                      <wp:wrapNone/>
                      <wp:docPr id="303" name="Frame296"/>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4"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68985" cy="175260"/>
                      <wp:effectExtent l="0" t="0" r="0" b="0"/>
                      <wp:wrapNone/>
                      <wp:docPr id="305" name="Frame298"/>
                      <a:graphic xmlns:a="http://schemas.openxmlformats.org/drawingml/2006/main">
                        <a:graphicData uri="http://schemas.microsoft.com/office/word/2010/wordprocessingShape">
                          <wps:wsp>
                            <wps:cNvSpPr txBox="1"/>
                            <wps:spPr>
                              <a:xfrm>
                                <a:off x="0" y="0"/>
                                <a:ext cx="76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6"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68985" cy="175260"/>
                      <wp:effectExtent l="0" t="0" r="0" b="0"/>
                      <wp:wrapNone/>
                      <wp:docPr id="307" name="Frame300"/>
                      <a:graphic xmlns:a="http://schemas.openxmlformats.org/drawingml/2006/main">
                        <a:graphicData uri="http://schemas.microsoft.com/office/word/2010/wordprocessingShape">
                          <wps:wsp>
                            <wps:cNvSpPr txBox="1"/>
                            <wps:spPr>
                              <a:xfrm>
                                <a:off x="0" y="0"/>
                                <a:ext cx="76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8"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32790" cy="175260"/>
                      <wp:effectExtent l="0" t="0" r="0" b="0"/>
                      <wp:wrapNone/>
                      <wp:docPr id="309" name="Frame302"/>
                      <a:graphic xmlns:a="http://schemas.openxmlformats.org/drawingml/2006/main">
                        <a:graphicData uri="http://schemas.microsoft.com/office/word/2010/wordprocessingShape">
                          <wps:wsp>
                            <wps:cNvSpPr txBox="1"/>
                            <wps:spPr>
                              <a:xfrm>
                                <a:off x="0" y="0"/>
                                <a:ext cx="732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8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jc w:val="center"/>
              <w:rPr/>
            </w:pPr>
            <w:r>
              <w:rPr/>
              <w:t>​</w:t>
            </w:r>
          </w:p>
        </w:tc>
        <w:tc>
          <w:tcPr>
            <w:tcW w:w="12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1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pPr>
            <w:r>
              <w:rPr/>
              <w:t>​</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DiDi Global Inc. shareholders’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pPr>
            <w:r>
              <w:rPr/>
              <w:t>​</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Class A ordinary shares (US$0.00002 par value; 4,000,000,000 shares authorized; 1,088,516,590 and 1,109,433,914 shares issued; 1,074,091,492 and 1,084,058,607 shares outstanding, 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Class B ordinary shares (US$0.00002 par value; 500,000,000 shares authorized; 117,335,836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108,542,356 and 112,895,380 shares outstanding, as of December 31, 2021 and 2022, respectively)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 </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 </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Treasury shares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251,384,835</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253,824,544</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36,801,100</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Statutory reserves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27,917</w:t>
            </w:r>
          </w:p>
        </w:tc>
        <w:tc>
          <w:tcPr>
            <w:tcW w:w="326" w:type="dxa"/>
            <w:tcBorders/>
            <w:shd w:fill="CCEEFF" w:val="clear"/>
            <w:vAlign w:val="center"/>
          </w:tcPr>
          <w:p>
            <w:pPr>
              <w:pStyle w:val="TableContents"/>
              <w:spacing w:before="0" w:after="0"/>
              <w:ind w:left="0" w:right="0" w:hanging="0"/>
              <w:rPr/>
            </w:pPr>
            <w:r>
              <w:rPr/>
              <w:t>​</w:t>
            </w:r>
          </w:p>
        </w:tc>
        <w:tc>
          <w:tcPr>
            <w:tcW w:w="12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69,328</w:t>
            </w:r>
          </w:p>
        </w:tc>
        <w:tc>
          <w:tcPr>
            <w:tcW w:w="326" w:type="dxa"/>
            <w:tcBorders/>
            <w:shd w:fill="CCEEFF" w:val="clear"/>
            <w:vAlign w:val="center"/>
          </w:tcPr>
          <w:p>
            <w:pPr>
              <w:pStyle w:val="TableContents"/>
              <w:spacing w:before="0" w:after="0"/>
              <w:ind w:left="0" w:right="0" w:hanging="0"/>
              <w:rPr/>
            </w:pPr>
            <w:r>
              <w:rPr/>
              <w:t>​</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10,052</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 (loss)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(3,599,745)</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973,143</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141,092</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(135,766,257)</w:t>
            </w:r>
          </w:p>
        </w:tc>
        <w:tc>
          <w:tcPr>
            <w:tcW w:w="326" w:type="dxa"/>
            <w:tcBorders/>
            <w:shd w:fill="CCEEFF" w:val="clear"/>
            <w:vAlign w:val="center"/>
          </w:tcPr>
          <w:p>
            <w:pPr>
              <w:pStyle w:val="TableContents"/>
              <w:spacing w:before="0" w:after="0"/>
              <w:ind w:left="0" w:right="0" w:hanging="0"/>
              <w:rPr/>
            </w:pPr>
            <w:r>
              <w:rPr/>
              <w:t>​</w:t>
            </w:r>
          </w:p>
        </w:tc>
        <w:tc>
          <w:tcPr>
            <w:tcW w:w="1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(159,590,989)</w:t>
            </w:r>
          </w:p>
        </w:tc>
        <w:tc>
          <w:tcPr>
            <w:tcW w:w="326" w:type="dxa"/>
            <w:tcBorders/>
            <w:shd w:fill="CCEEFF" w:val="clear"/>
            <w:vAlign w:val="center"/>
          </w:tcPr>
          <w:p>
            <w:pPr>
              <w:pStyle w:val="TableContents"/>
              <w:spacing w:before="0" w:after="0"/>
              <w:ind w:left="0" w:right="0" w:hanging="0"/>
              <w:rPr/>
            </w:pPr>
            <w:r>
              <w:rPr/>
              <w:t>​</w:t>
            </w:r>
          </w:p>
        </w:tc>
        <w:tc>
          <w:tcPr>
            <w:tcW w:w="11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(23,138,518)</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DiDi Global Inc. shareholders’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112,046,903</w:t>
            </w:r>
          </w:p>
        </w:tc>
        <w:tc>
          <w:tcPr>
            <w:tcW w:w="326" w:type="dxa"/>
            <w:tcBorders/>
            <w:shd w:fill="auto" w:val="clear"/>
            <w:vAlign w:val="center"/>
          </w:tcPr>
          <w:p>
            <w:pPr>
              <w:pStyle w:val="TableContents"/>
              <w:spacing w:before="0" w:after="0"/>
              <w:ind w:left="0" w:right="0" w:hanging="0"/>
              <w:rPr/>
            </w:pPr>
            <w:r>
              <w:rPr/>
              <w:t>​</w:t>
            </w:r>
          </w:p>
        </w:tc>
        <w:tc>
          <w:tcPr>
            <w:tcW w:w="121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95,276,181</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13,813,748</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72,601</w:t>
            </w:r>
          </w:p>
        </w:tc>
        <w:tc>
          <w:tcPr>
            <w:tcW w:w="326" w:type="dxa"/>
            <w:tcBorders/>
            <w:shd w:fill="CCEEFF" w:val="clear"/>
            <w:vAlign w:val="center"/>
          </w:tcPr>
          <w:p>
            <w:pPr>
              <w:pStyle w:val="TableContents"/>
              <w:spacing w:before="0" w:after="0"/>
              <w:ind w:left="0" w:right="0" w:hanging="0"/>
              <w:rPr/>
            </w:pPr>
            <w:r>
              <w:rPr/>
              <w:t>​</w:t>
            </w:r>
          </w:p>
        </w:tc>
        <w:tc>
          <w:tcPr>
            <w:tcW w:w="1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68,584</w:t>
            </w:r>
          </w:p>
        </w:tc>
        <w:tc>
          <w:tcPr>
            <w:tcW w:w="326" w:type="dxa"/>
            <w:tcBorders/>
            <w:shd w:fill="CCEEFF" w:val="clear"/>
            <w:vAlign w:val="center"/>
          </w:tcPr>
          <w:p>
            <w:pPr>
              <w:pStyle w:val="TableContents"/>
              <w:spacing w:before="0" w:after="0"/>
              <w:ind w:left="0" w:right="0" w:hanging="0"/>
              <w:rPr/>
            </w:pPr>
            <w:r>
              <w:rPr/>
              <w:t>​</w:t>
            </w:r>
          </w:p>
        </w:tc>
        <w:tc>
          <w:tcPr>
            <w:tcW w:w="11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r>
      <w:tr>
        <w:trPr/>
        <w:tc>
          <w:tcPr>
            <w:tcW w:w="4874"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112,119,504</w:t>
            </w:r>
          </w:p>
        </w:tc>
        <w:tc>
          <w:tcPr>
            <w:tcW w:w="326" w:type="dxa"/>
            <w:tcBorders/>
            <w:shd w:fill="auto" w:val="clear"/>
            <w:vAlign w:val="center"/>
          </w:tcPr>
          <w:p>
            <w:pPr>
              <w:pStyle w:val="TableContents"/>
              <w:spacing w:before="0" w:after="0"/>
              <w:ind w:left="0" w:right="0" w:hanging="0"/>
              <w:rPr/>
            </w:pPr>
            <w:r>
              <w:rPr/>
              <w:t>​</w:t>
            </w:r>
          </w:p>
        </w:tc>
        <w:tc>
          <w:tcPr>
            <w:tcW w:w="12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95,344,765</w:t>
            </w:r>
          </w:p>
        </w:tc>
        <w:tc>
          <w:tcPr>
            <w:tcW w:w="326" w:type="dxa"/>
            <w:tcBorders/>
            <w:shd w:fill="auto" w:val="clear"/>
            <w:vAlign w:val="center"/>
          </w:tcPr>
          <w:p>
            <w:pPr>
              <w:pStyle w:val="TableContents"/>
              <w:spacing w:before="0" w:after="0"/>
              <w:ind w:left="0" w:right="0" w:hanging="0"/>
              <w:rPr/>
            </w:pPr>
            <w:r>
              <w:rPr/>
              <w:t>​</w:t>
            </w:r>
          </w:p>
        </w:tc>
        <w:tc>
          <w:tcPr>
            <w:tcW w:w="11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13,823,692</w:t>
            </w:r>
          </w:p>
        </w:tc>
      </w:tr>
      <w:tr>
        <w:trPr/>
        <w:tc>
          <w:tcPr>
            <w:tcW w:w="487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152,998,135</w:t>
            </w:r>
          </w:p>
        </w:tc>
        <w:tc>
          <w:tcPr>
            <w:tcW w:w="326" w:type="dxa"/>
            <w:tcBorders/>
            <w:shd w:fill="CCEEFF" w:val="clear"/>
            <w:vAlign w:val="center"/>
          </w:tcPr>
          <w:p>
            <w:pPr>
              <w:pStyle w:val="TableContents"/>
              <w:spacing w:before="0" w:after="0"/>
              <w:ind w:left="0" w:right="0" w:hanging="0"/>
              <w:rPr/>
            </w:pPr>
            <w:r>
              <w:rPr/>
              <w:t> </w:t>
            </w:r>
          </w:p>
        </w:tc>
        <w:tc>
          <w:tcPr>
            <w:tcW w:w="1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131,213,272</w:t>
            </w:r>
          </w:p>
        </w:tc>
        <w:tc>
          <w:tcPr>
            <w:tcW w:w="326" w:type="dxa"/>
            <w:tcBorders/>
            <w:shd w:fill="CCEEFF" w:val="clear"/>
            <w:vAlign w:val="center"/>
          </w:tcPr>
          <w:p>
            <w:pPr>
              <w:pStyle w:val="TableContents"/>
              <w:spacing w:before="0" w:after="0"/>
              <w:ind w:left="0" w:right="0" w:hanging="0"/>
              <w:rPr/>
            </w:pPr>
            <w:r>
              <w:rPr/>
              <w:t> </w:t>
            </w:r>
          </w:p>
        </w:tc>
        <w:tc>
          <w:tcPr>
            <w:tcW w:w="1154"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19,024,136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91" w:name="_f7a0d8d9_8497_4c36_bf64_a4ffb06799ba"/>
      <w:bookmarkEnd w:id="391"/>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bookmarkStart w:id="392" w:name="CONSOLIDATEDSTATEMENTSOFCOMPREHENSIVELOS"/>
      <w:bookmarkEnd w:id="392"/>
      <w:r>
        <w:rPr>
          <w:rFonts w:ascii="Times New Roman;Times;serif" w:hAnsi="Times New Roman;Times;serif"/>
          <w:b/>
          <w:sz w:val="20"/>
        </w:rPr>
        <w:t>CONSOLIDATED STATEMENTS OF COMPREHENSIVE LOSS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393" w:name="Tc_Q9zUeEYhYUiIzAFsOtWG7w_40_0"/>
      <w:bookmarkStart w:id="394" w:name="Tc_YyO-XWZJsU6PFxAYRD-zDw_39_0"/>
      <w:bookmarkStart w:id="395" w:name="Tc_kAI0VRt4I0CWO5uyyzB48Q_38_0"/>
      <w:bookmarkStart w:id="396" w:name="Tc_g5YM3N1Mykax9iEGPJKGpA_37_0"/>
      <w:bookmarkStart w:id="397" w:name="Tc_mBClgxSqV0yTKZCLY-LSEg_36_0"/>
      <w:bookmarkStart w:id="398" w:name="Tc_NCNeFh7U1EKGEBJvQpyQAQ_35_0"/>
      <w:bookmarkStart w:id="399" w:name="Tc_CAIgWmpbqki2wCHTkw_xcw_34_0"/>
      <w:bookmarkStart w:id="400" w:name="Tc_0yHhdFNIW0iVJnNtiLofOQ_33_0"/>
      <w:bookmarkStart w:id="401" w:name="Tc_nHnO3PGeqUCMpn43BmBZBQ_32_0"/>
      <w:bookmarkStart w:id="402" w:name="Tc_s6G-6rvhEkOyh3tyWzxDfQ_31_10"/>
      <w:bookmarkStart w:id="403" w:name="Tc_7o5GxRZgfUyVabWgSi9pjg_31_8"/>
      <w:bookmarkStart w:id="404" w:name="Tc_ezjdNzxCNE6jng1R29kVvQ_31_6"/>
      <w:bookmarkStart w:id="405" w:name="Tc_XwUZdMWv1Uawze6tHdBWFg_31_0"/>
      <w:bookmarkStart w:id="406" w:name="Tc_aBkKnwTORUuBLzseldpR4g_30_2"/>
      <w:bookmarkStart w:id="407" w:name="Tc_yroFRyasT0KkJYvnxU4wdQ_30_0"/>
      <w:bookmarkStart w:id="408" w:name="Tc_VsxiMPrV2E2uac6qO89jNg_29_0"/>
      <w:bookmarkStart w:id="409" w:name="Tc_oUFbcoJfakmYJUN8uXozyQ_28_0"/>
      <w:bookmarkStart w:id="410" w:name="Tc_zVFcGeXx2kiS0vD6nSpUcw_27_0"/>
      <w:bookmarkStart w:id="411" w:name="Tc_2y3umij9PEih9dcKv1MNfQ_26_2"/>
      <w:bookmarkStart w:id="412" w:name="Tc_dbFNoLIxX0OQ23MTsmXsCA_26_0"/>
      <w:bookmarkStart w:id="413" w:name="Tc_57Du1NU1NU2fzIksrfd1OQ_25_0"/>
      <w:bookmarkStart w:id="414" w:name="Tc_QeZZsAYgu0aUsnZS3WuB4w_24_0"/>
      <w:bookmarkStart w:id="415" w:name="Tc_cPa5s9kqoUSzq5IBQI1lCA_23_2"/>
      <w:bookmarkStart w:id="416" w:name="Tc_JR91iIZCSUW_Gtcx2BxVuQ_23_0"/>
      <w:bookmarkStart w:id="417" w:name="Tc_CIYt42KNOUeXVXhpYFTNRQ_22_6"/>
      <w:bookmarkStart w:id="418" w:name="Tc_NhVme-TN0USTnOdemM33IA_22_2"/>
      <w:bookmarkStart w:id="419" w:name="Tc_BY4I3wlGLUCj9d3Jd6Unow_22_0"/>
      <w:bookmarkStart w:id="420" w:name="Tc_jma8mUmK6UCkDVPpeOlw1w_21_0"/>
      <w:bookmarkStart w:id="421" w:name="Tc_hy6f6SJfqkSvQv-TirZ1ow_20_0"/>
      <w:bookmarkStart w:id="422" w:name="Tc_i9ZD7ZYGn0KX0159EIcKVA_19_0"/>
      <w:bookmarkStart w:id="423" w:name="Tc_RDz7ccScxkS2_GRjgmvOQg_18_0"/>
      <w:bookmarkStart w:id="424" w:name="Tc_facRY6OuskGyoKZHyepS4Q_17_0"/>
      <w:bookmarkStart w:id="425" w:name="Tc_IoZFQVk500CyPSXp-8C8QA_16_10"/>
      <w:bookmarkStart w:id="426" w:name="Tc_LVbjiD0u_kixgUCbbFT8Tw_16_8"/>
      <w:bookmarkStart w:id="427" w:name="Tc_3WPfz9mVGUCgl8Txc4B5EQ_16_4"/>
      <w:bookmarkStart w:id="428" w:name="Tc_0QVE2v8En0mswwjxGgMz8g_16_2"/>
      <w:bookmarkStart w:id="429" w:name="Tc_woq-7u8iLU-s31wc8y0sww_16_0"/>
      <w:bookmarkStart w:id="430" w:name="Tc_SLlVsuwOpESQ8J-SGps83w_15_0"/>
      <w:bookmarkStart w:id="431" w:name="Tc_LELXd0AGx0OrlPo0tZ0_kw_14_0"/>
      <w:bookmarkStart w:id="432" w:name="Tc_i4geMl0Mm0CZNF-NjVzXlA_13_0"/>
      <w:bookmarkStart w:id="433" w:name="Tc_M9dvU-BEFEyly-PRNjkJrA_12_0"/>
      <w:bookmarkStart w:id="434" w:name="Tc_lBr_xweuKkyYYc3oNx31tw_11_0"/>
      <w:bookmarkStart w:id="435" w:name="Tc_l-48AHrtMkGyEtE_J9fbhg_10_0"/>
      <w:bookmarkStart w:id="436" w:name="Tc_GhS8caXohU29QpyPqCNTXQ_9_0"/>
      <w:bookmarkStart w:id="437" w:name="Tc_3_gAmnhaj0OfrCXys6-lBw_8_0"/>
      <w:bookmarkStart w:id="438" w:name="Tc_lgyXYmzobUyIUGEp01JwMA_7_0"/>
      <w:bookmarkStart w:id="439" w:name="Tc_5oGItplNl0qMl_2PGxX9qw_6_0"/>
      <w:bookmarkStart w:id="440" w:name="Tc_v1dkmgoneEat3zSVDGu_Dg_5_0"/>
      <w:bookmarkStart w:id="441" w:name="Tc_0xCY3TuEakGt952s27uoqw_4_10"/>
      <w:bookmarkStart w:id="442" w:name="Tc_S-moLyEcu0C00eTdvDMSVw_3_10"/>
      <w:bookmarkStart w:id="443" w:name="Tc_m8Xee5hSW02PmhymV_LAFQ_3_8"/>
      <w:bookmarkStart w:id="444" w:name="Tc_wXlhwuYx4kGV_zyHZ092Bg_3_6"/>
      <w:bookmarkStart w:id="445" w:name="Tc_j_A_AhBMjUqj8my72PWDSQ_3_4"/>
      <w:bookmarkStart w:id="446" w:name="Tc_aWXV8CtIikmuAHbzGOx6gw_2_10"/>
      <w:bookmarkStart w:id="447" w:name="Tc_Z2uUu_LJvEWbruovTvYpSA_2_8"/>
      <w:bookmarkStart w:id="448" w:name="Tc_FUwJ6ywOsESdXzYjhBjKwA_2_6"/>
      <w:bookmarkStart w:id="449" w:name="Tc_Tam9ojNxUkqxidirW05p3Q_2_4"/>
      <w:bookmarkStart w:id="450" w:name="Tc_vXWXyyw-50-99GO1PY-x3w_2_2"/>
      <w:bookmarkStart w:id="451" w:name="Tc_JAbSOMGhPEKGuL3LNSR37w_1_4"/>
      <w:bookmarkStart w:id="452" w:name="_c40fe278_6843_4a36_87bd_b6e02c21f3c1"/>
      <w:bookmarkStart w:id="453" w:name="Tc_Q9zUeEYhYUiIzAFsOtWG7w_40_0"/>
      <w:bookmarkStart w:id="454" w:name="Tc_YyO-XWZJsU6PFxAYRD-zDw_39_0"/>
      <w:bookmarkStart w:id="455" w:name="Tc_kAI0VRt4I0CWO5uyyzB48Q_38_0"/>
      <w:bookmarkStart w:id="456" w:name="Tc_g5YM3N1Mykax9iEGPJKGpA_37_0"/>
      <w:bookmarkStart w:id="457" w:name="Tc_mBClgxSqV0yTKZCLY-LSEg_36_0"/>
      <w:bookmarkStart w:id="458" w:name="Tc_NCNeFh7U1EKGEBJvQpyQAQ_35_0"/>
      <w:bookmarkStart w:id="459" w:name="Tc_CAIgWmpbqki2wCHTkw_xcw_34_0"/>
      <w:bookmarkStart w:id="460" w:name="Tc_0yHhdFNIW0iVJnNtiLofOQ_33_0"/>
      <w:bookmarkStart w:id="461" w:name="Tc_nHnO3PGeqUCMpn43BmBZBQ_32_0"/>
      <w:bookmarkStart w:id="462" w:name="Tc_s6G-6rvhEkOyh3tyWzxDfQ_31_10"/>
      <w:bookmarkStart w:id="463" w:name="Tc_7o5GxRZgfUyVabWgSi9pjg_31_8"/>
      <w:bookmarkStart w:id="464" w:name="Tc_ezjdNzxCNE6jng1R29kVvQ_31_6"/>
      <w:bookmarkStart w:id="465" w:name="Tc_XwUZdMWv1Uawze6tHdBWFg_31_0"/>
      <w:bookmarkStart w:id="466" w:name="Tc_aBkKnwTORUuBLzseldpR4g_30_2"/>
      <w:bookmarkStart w:id="467" w:name="Tc_yroFRyasT0KkJYvnxU4wdQ_30_0"/>
      <w:bookmarkStart w:id="468" w:name="Tc_VsxiMPrV2E2uac6qO89jNg_29_0"/>
      <w:bookmarkStart w:id="469" w:name="Tc_oUFbcoJfakmYJUN8uXozyQ_28_0"/>
      <w:bookmarkStart w:id="470" w:name="Tc_zVFcGeXx2kiS0vD6nSpUcw_27_0"/>
      <w:bookmarkStart w:id="471" w:name="Tc_2y3umij9PEih9dcKv1MNfQ_26_2"/>
      <w:bookmarkStart w:id="472" w:name="Tc_dbFNoLIxX0OQ23MTsmXsCA_26_0"/>
      <w:bookmarkStart w:id="473" w:name="Tc_57Du1NU1NU2fzIksrfd1OQ_25_0"/>
      <w:bookmarkStart w:id="474" w:name="Tc_QeZZsAYgu0aUsnZS3WuB4w_24_0"/>
      <w:bookmarkStart w:id="475" w:name="Tc_cPa5s9kqoUSzq5IBQI1lCA_23_2"/>
      <w:bookmarkStart w:id="476" w:name="Tc_JR91iIZCSUW_Gtcx2BxVuQ_23_0"/>
      <w:bookmarkStart w:id="477" w:name="Tc_CIYt42KNOUeXVXhpYFTNRQ_22_6"/>
      <w:bookmarkStart w:id="478" w:name="Tc_NhVme-TN0USTnOdemM33IA_22_2"/>
      <w:bookmarkStart w:id="479" w:name="Tc_BY4I3wlGLUCj9d3Jd6Unow_22_0"/>
      <w:bookmarkStart w:id="480" w:name="Tc_jma8mUmK6UCkDVPpeOlw1w_21_0"/>
      <w:bookmarkStart w:id="481" w:name="Tc_hy6f6SJfqkSvQv-TirZ1ow_20_0"/>
      <w:bookmarkStart w:id="482" w:name="Tc_i9ZD7ZYGn0KX0159EIcKVA_19_0"/>
      <w:bookmarkStart w:id="483" w:name="Tc_RDz7ccScxkS2_GRjgmvOQg_18_0"/>
      <w:bookmarkStart w:id="484" w:name="Tc_facRY6OuskGyoKZHyepS4Q_17_0"/>
      <w:bookmarkStart w:id="485" w:name="Tc_IoZFQVk500CyPSXp-8C8QA_16_10"/>
      <w:bookmarkStart w:id="486" w:name="Tc_LVbjiD0u_kixgUCbbFT8Tw_16_8"/>
      <w:bookmarkStart w:id="487" w:name="Tc_3WPfz9mVGUCgl8Txc4B5EQ_16_4"/>
      <w:bookmarkStart w:id="488" w:name="Tc_0QVE2v8En0mswwjxGgMz8g_16_2"/>
      <w:bookmarkStart w:id="489" w:name="Tc_woq-7u8iLU-s31wc8y0sww_16_0"/>
      <w:bookmarkStart w:id="490" w:name="Tc_SLlVsuwOpESQ8J-SGps83w_15_0"/>
      <w:bookmarkStart w:id="491" w:name="Tc_LELXd0AGx0OrlPo0tZ0_kw_14_0"/>
      <w:bookmarkStart w:id="492" w:name="Tc_i4geMl0Mm0CZNF-NjVzXlA_13_0"/>
      <w:bookmarkStart w:id="493" w:name="Tc_M9dvU-BEFEyly-PRNjkJrA_12_0"/>
      <w:bookmarkStart w:id="494" w:name="Tc_lBr_xweuKkyYYc3oNx31tw_11_0"/>
      <w:bookmarkStart w:id="495" w:name="Tc_l-48AHrtMkGyEtE_J9fbhg_10_0"/>
      <w:bookmarkStart w:id="496" w:name="Tc_GhS8caXohU29QpyPqCNTXQ_9_0"/>
      <w:bookmarkStart w:id="497" w:name="Tc_3_gAmnhaj0OfrCXys6-lBw_8_0"/>
      <w:bookmarkStart w:id="498" w:name="Tc_lgyXYmzobUyIUGEp01JwMA_7_0"/>
      <w:bookmarkStart w:id="499" w:name="Tc_5oGItplNl0qMl_2PGxX9qw_6_0"/>
      <w:bookmarkStart w:id="500" w:name="Tc_v1dkmgoneEat3zSVDGu_Dg_5_0"/>
      <w:bookmarkStart w:id="501" w:name="Tc_0xCY3TuEakGt952s27uoqw_4_10"/>
      <w:bookmarkStart w:id="502" w:name="Tc_S-moLyEcu0C00eTdvDMSVw_3_10"/>
      <w:bookmarkStart w:id="503" w:name="Tc_m8Xee5hSW02PmhymV_LAFQ_3_8"/>
      <w:bookmarkStart w:id="504" w:name="Tc_wXlhwuYx4kGV_zyHZ092Bg_3_6"/>
      <w:bookmarkStart w:id="505" w:name="Tc_j_A_AhBMjUqj8my72PWDSQ_3_4"/>
      <w:bookmarkStart w:id="506" w:name="Tc_aWXV8CtIikmuAHbzGOx6gw_2_10"/>
      <w:bookmarkStart w:id="507" w:name="Tc_Z2uUu_LJvEWbruovTvYpSA_2_8"/>
      <w:bookmarkStart w:id="508" w:name="Tc_FUwJ6ywOsESdXzYjhBjKwA_2_6"/>
      <w:bookmarkStart w:id="509" w:name="Tc_Tam9ojNxUkqxidirW05p3Q_2_4"/>
      <w:bookmarkStart w:id="510" w:name="Tc_vXWXyyw-50-99GO1PY-x3w_2_2"/>
      <w:bookmarkStart w:id="511" w:name="Tc_JAbSOMGhPEKGuL3LNSR37w_1_4"/>
      <w:bookmarkStart w:id="512" w:name="_c40fe278_6843_4a36_87bd_b6e02c21f3c1"/>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tbl>
      <w:tblPr>
        <w:tblW w:w="10205" w:type="dxa"/>
        <w:jc w:val="left"/>
        <w:tblInd w:w="0" w:type="dxa"/>
        <w:tblCellMar>
          <w:top w:w="0" w:type="dxa"/>
          <w:left w:w="0" w:type="dxa"/>
          <w:bottom w:w="0" w:type="dxa"/>
          <w:right w:w="0" w:type="dxa"/>
        </w:tblCellMar>
      </w:tblPr>
      <w:tblGrid>
        <w:gridCol w:w="3307"/>
        <w:gridCol w:w="326"/>
        <w:gridCol w:w="451"/>
        <w:gridCol w:w="326"/>
        <w:gridCol w:w="1219"/>
        <w:gridCol w:w="326"/>
        <w:gridCol w:w="1219"/>
        <w:gridCol w:w="326"/>
        <w:gridCol w:w="1219"/>
        <w:gridCol w:w="326"/>
        <w:gridCol w:w="1160"/>
      </w:tblGrid>
      <w:tr>
        <w:trPr/>
        <w:tc>
          <w:tcPr>
            <w:tcW w:w="3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99945" cy="175260"/>
                      <wp:effectExtent l="0" t="0" r="0" b="0"/>
                      <wp:wrapNone/>
                      <wp:docPr id="310" name="Frame303"/>
                      <a:graphic xmlns:a="http://schemas.openxmlformats.org/drawingml/2006/main">
                        <a:graphicData uri="http://schemas.microsoft.com/office/word/2010/wordprocessingShape">
                          <wps:wsp>
                            <wps:cNvSpPr txBox="1"/>
                            <wps:spPr>
                              <a:xfrm>
                                <a:off x="0" y="0"/>
                                <a:ext cx="2099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1"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86385" cy="175260"/>
                      <wp:effectExtent l="0" t="0" r="0" b="0"/>
                      <wp:wrapNone/>
                      <wp:docPr id="312" name="Frame305"/>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3"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74065" cy="175260"/>
                      <wp:effectExtent l="0" t="0" r="0" b="0"/>
                      <wp:wrapNone/>
                      <wp:docPr id="314" name="Frame307"/>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5"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74065" cy="175260"/>
                      <wp:effectExtent l="0" t="0" r="0" b="0"/>
                      <wp:wrapNone/>
                      <wp:docPr id="316" name="Frame309"/>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7"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74065" cy="175260"/>
                      <wp:effectExtent l="0" t="0" r="0" b="0"/>
                      <wp:wrapNone/>
                      <wp:docPr id="318" name="Frame311"/>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9"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36600" cy="175260"/>
                      <wp:effectExtent l="0" t="0" r="0" b="0"/>
                      <wp:wrapNone/>
                      <wp:docPr id="320" name="Frame313"/>
                      <a:graphic xmlns:a="http://schemas.openxmlformats.org/drawingml/2006/main">
                        <a:graphicData uri="http://schemas.microsoft.com/office/word/2010/wordprocessingShape">
                          <wps:wsp>
                            <wps:cNvSpPr txBox="1"/>
                            <wps:spPr>
                              <a:xfrm>
                                <a:off x="0" y="0"/>
                                <a:ext cx="736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795"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160" w:type="dxa"/>
            <w:tcBorders/>
            <w:shd w:fill="CCEEFF" w:val="clear"/>
            <w:vAlign w:val="center"/>
          </w:tcPr>
          <w:p>
            <w:pPr>
              <w:pStyle w:val="TableContents"/>
              <w:spacing w:before="0" w:after="1"/>
              <w:ind w:left="0" w:right="0" w:hanging="0"/>
              <w:jc w:val="right"/>
              <w:rPr/>
            </w:pPr>
            <w:r>
              <w:rPr/>
              <w:t>  </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Mobility</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133,645,113</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160,520,747</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125,930,620</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18,258,224</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2,333,113</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3,622,366</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5,863,123</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850,073</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Initiatives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5,757,926</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9,684,269</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8,997,940</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1,304,578</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141,736,152</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173,827,382</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140,791,683</w:t>
            </w:r>
          </w:p>
        </w:tc>
        <w:tc>
          <w:tcPr>
            <w:tcW w:w="326" w:type="dxa"/>
            <w:tcBorders/>
            <w:shd w:fill="CCEEFF" w:val="clear"/>
            <w:vAlign w:val="center"/>
          </w:tcPr>
          <w:p>
            <w:pPr>
              <w:pStyle w:val="TableContents"/>
              <w:spacing w:before="0" w:after="1"/>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20,412,875</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Costs and expenses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pPr>
            <w:r>
              <w:rPr/>
              <w:t>  </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(125,824,104)</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(156,863,229)</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(115,799,896)</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(16,789,407)</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(4,695,716)</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(7,525,398)</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(6,519,542)</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(945,245)</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(11,136,486)</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(16,961,328)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(9,756,241)</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(1,414,522)</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(6,316,802)</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(9,414,646)</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(9,535,523)</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(1,382,520)</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(7,550,986)</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(28,715,206)</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(17,004,943)</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(2,465,485)</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Impairment of goodwill and intangible assets acquired from business combination</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(2,789,321)</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(155,524,094)</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(222,269,128)</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(158,616,145)</w:t>
            </w:r>
          </w:p>
        </w:tc>
        <w:tc>
          <w:tcPr>
            <w:tcW w:w="326" w:type="dxa"/>
            <w:tcBorders/>
            <w:shd w:fill="CCEEFF" w:val="clear"/>
            <w:vAlign w:val="center"/>
          </w:tcPr>
          <w:p>
            <w:pPr>
              <w:pStyle w:val="TableContents"/>
              <w:spacing w:before="0" w:after="1"/>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(22,997,179)</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(13,787,942)</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(48,441,746)</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(17,824,462)</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(2,584,304)</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1,228,580</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818,522</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1,309,864</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189,912</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(136,347)</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(277,596)</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(197,334)</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(28,611)</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 income (loss), net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2,833,334</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(167,121)</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(5,769,873)</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(836,553)</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Impairment loss for equity investments accounted for using Measurement Alternative</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(1,022,098)</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(18,540)</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(2,688)</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Income (loss) from equity method investments, net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(1,057,427)</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(475,851)</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35,854</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5,198</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income (loss), net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1,031,160</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(624,466)</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(1,314,105)</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(190,526)</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(10,910,740)</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(49,168,258)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(23,778,596)</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(3,447,572)</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Income tax benefits (expenses)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303,202</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(166,320)</w:t>
            </w:r>
          </w:p>
        </w:tc>
        <w:tc>
          <w:tcPr>
            <w:tcW w:w="326" w:type="dxa"/>
            <w:tcBorders/>
            <w:shd w:fill="auto" w:val="clear"/>
            <w:vAlign w:val="center"/>
          </w:tcPr>
          <w:p>
            <w:pPr>
              <w:pStyle w:val="TableContents"/>
              <w:spacing w:before="0" w:after="1"/>
              <w:ind w:left="0" w:right="0" w:hanging="0"/>
              <w:rPr/>
            </w:pPr>
            <w:r>
              <w:rPr/>
              <w:t>​</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(3,915)</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(10,607,538)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(49,334,578)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(23,782,511)</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(3,448,140)</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Less: Net income (loss) attributable to non-controlling interest shareholders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(93,040)</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9,086</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attributable to DiDi Global Inc.</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(10,514,498)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(49,343,664)</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(23,783,321)</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(3,448,258)</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(165,047)</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(130,292)</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dividends to preferred shareholders upon repurchases of convertible preferred shares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attributable to ordinary shareholders of DiDi Global Inc.</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(10,680,417)</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(50,031,281)</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(24,681,970)</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(3,578,550)</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(10,607,538)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(49,334,578)</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(23,782,511)</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(3,448,140)</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pPr>
            <w:r>
              <w:rPr/>
              <w:t>​</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 net of tax of nil</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(5,926,301)</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(1,593,734)</w:t>
            </w:r>
          </w:p>
        </w:tc>
        <w:tc>
          <w:tcPr>
            <w:tcW w:w="326" w:type="dxa"/>
            <w:tcBorders/>
            <w:shd w:fill="CCEEFF" w:val="clear"/>
            <w:vAlign w:val="center"/>
          </w:tcPr>
          <w:p>
            <w:pPr>
              <w:pStyle w:val="TableContents"/>
              <w:spacing w:before="0" w:after="1"/>
              <w:ind w:left="0" w:right="0" w:hanging="0"/>
              <w:rPr/>
            </w:pPr>
            <w:r>
              <w:rPr/>
              <w:t> </w:t>
            </w:r>
          </w:p>
        </w:tc>
        <w:tc>
          <w:tcPr>
            <w:tcW w:w="12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4,585,505</w:t>
            </w:r>
          </w:p>
        </w:tc>
        <w:tc>
          <w:tcPr>
            <w:tcW w:w="326" w:type="dxa"/>
            <w:tcBorders/>
            <w:shd w:fill="CCEEFF" w:val="clear"/>
            <w:vAlign w:val="center"/>
          </w:tcPr>
          <w:p>
            <w:pPr>
              <w:pStyle w:val="TableContents"/>
              <w:spacing w:before="0" w:after="1"/>
              <w:ind w:left="0" w:right="0" w:hanging="0"/>
              <w:rPr/>
            </w:pPr>
            <w:r>
              <w:rPr/>
              <w:t> </w:t>
            </w:r>
          </w:p>
        </w:tc>
        <w:tc>
          <w:tcPr>
            <w:tcW w:w="11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664,835</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 of other comprehensive income (loss) of equity method investees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(4,811)</w:t>
            </w:r>
          </w:p>
        </w:tc>
        <w:tc>
          <w:tcPr>
            <w:tcW w:w="326" w:type="dxa"/>
            <w:tcBorders/>
            <w:shd w:fill="auto" w:val="clear"/>
            <w:vAlign w:val="center"/>
          </w:tcPr>
          <w:p>
            <w:pPr>
              <w:pStyle w:val="TableContents"/>
              <w:spacing w:before="0" w:after="1"/>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(12,617)</w:t>
            </w:r>
          </w:p>
        </w:tc>
        <w:tc>
          <w:tcPr>
            <w:tcW w:w="326" w:type="dxa"/>
            <w:tcBorders/>
            <w:shd w:fill="auto" w:val="clear"/>
            <w:vAlign w:val="center"/>
          </w:tcPr>
          <w:p>
            <w:pPr>
              <w:pStyle w:val="TableContents"/>
              <w:spacing w:before="0" w:after="1"/>
              <w:ind w:left="0" w:right="0" w:hanging="0"/>
              <w:rPr/>
            </w:pPr>
            <w:r>
              <w:rPr/>
              <w:t> </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other comprehensive income (loss)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(5,926,111)</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(1,598,545)</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4,572,888</w:t>
            </w:r>
          </w:p>
        </w:tc>
        <w:tc>
          <w:tcPr>
            <w:tcW w:w="326" w:type="dxa"/>
            <w:tcBorders/>
            <w:shd w:fill="CCEEFF" w:val="clear"/>
            <w:vAlign w:val="center"/>
          </w:tcPr>
          <w:p>
            <w:pPr>
              <w:pStyle w:val="TableContents"/>
              <w:spacing w:before="0" w:after="1"/>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663,006</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comprehensive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(16,533,649)</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(50,933,123)</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(19,209,623)</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(2,785,134)</w:t>
            </w:r>
          </w:p>
        </w:tc>
      </w:tr>
      <w:tr>
        <w:trPr/>
        <w:tc>
          <w:tcPr>
            <w:tcW w:w="330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Less: comprehensive income (loss) attributable to non-controlling interest shareholders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(93,040)</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9,086</w:t>
            </w:r>
          </w:p>
        </w:tc>
        <w:tc>
          <w:tcPr>
            <w:tcW w:w="326" w:type="dxa"/>
            <w:tcBorders/>
            <w:shd w:fill="CCEEFF" w:val="clear"/>
            <w:vAlign w:val="center"/>
          </w:tcPr>
          <w:p>
            <w:pPr>
              <w:pStyle w:val="TableContents"/>
              <w:spacing w:before="0" w:after="1"/>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spacing w:before="0" w:after="1"/>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30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Comprehensive loss attributable to DiDi Global Inc.</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(16,440,609)</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(50,942,209)</w:t>
            </w:r>
          </w:p>
        </w:tc>
        <w:tc>
          <w:tcPr>
            <w:tcW w:w="326" w:type="dxa"/>
            <w:tcBorders/>
            <w:shd w:fill="auto" w:val="clear"/>
            <w:vAlign w:val="center"/>
          </w:tcPr>
          <w:p>
            <w:pPr>
              <w:pStyle w:val="TableContents"/>
              <w:spacing w:before="0" w:after="1"/>
              <w:ind w:left="0" w:right="0" w:hanging="0"/>
              <w:rPr/>
            </w:pPr>
            <w:r>
              <w:rPr/>
              <w:t> </w:t>
            </w:r>
          </w:p>
        </w:tc>
        <w:tc>
          <w:tcPr>
            <w:tcW w:w="121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(19,210,433)</w:t>
            </w:r>
          </w:p>
        </w:tc>
        <w:tc>
          <w:tcPr>
            <w:tcW w:w="326" w:type="dxa"/>
            <w:tcBorders/>
            <w:shd w:fill="auto" w:val="clear"/>
            <w:vAlign w:val="center"/>
          </w:tcPr>
          <w:p>
            <w:pPr>
              <w:pStyle w:val="TableContents"/>
              <w:spacing w:before="0" w:after="1"/>
              <w:ind w:left="0" w:right="0" w:hanging="0"/>
              <w:rPr/>
            </w:pPr>
            <w:r>
              <w:rPr/>
              <w:t> </w:t>
            </w:r>
          </w:p>
        </w:tc>
        <w:tc>
          <w:tcPr>
            <w:tcW w:w="1160"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(2,785,252)</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CONSOLIDATED STATEMENTS OF COMPREHENSIVE LOSS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513" w:name="Tc_mOU8Lm6BnUyVt3TOHqwKEw_19_0"/>
      <w:bookmarkStart w:id="514" w:name="Tc_1-GnGNslREyjySoUOVwsXQ_18_0"/>
      <w:bookmarkStart w:id="515" w:name="Tc_Txkm3gftOkuwDg3VuaCuwg_17_0"/>
      <w:bookmarkStart w:id="516" w:name="Tc_I8KXAtu9O02akWaHCsnk1Q_16_0"/>
      <w:bookmarkStart w:id="517" w:name="Tc_KKkc2tl8Pk-k_qS0Eb25Xw_15_0"/>
      <w:bookmarkStart w:id="518" w:name="Tc_EObrSbeOwkeoewMATA-rRA_14_0"/>
      <w:bookmarkStart w:id="519" w:name="Tc_5vWxEp07gE-0trg5qZzDXg_13_0"/>
      <w:bookmarkStart w:id="520" w:name="Tc_0WtTtCuGGEeRUzS2_VouOw_12_0"/>
      <w:bookmarkStart w:id="521" w:name="Tc_pxyNtAcL9k-xpbodvbNBBQ_11_2"/>
      <w:bookmarkStart w:id="522" w:name="Tc_HwZFJoAcQEy9X8o6k8iBKg_11_0"/>
      <w:bookmarkStart w:id="523" w:name="Tc_kwXpb3Gbqk2Pzo3c1ro4Yg_10_0"/>
      <w:bookmarkStart w:id="524" w:name="Tc_mmoLovUo1EmxQLusFbBCTw_9_0"/>
      <w:bookmarkStart w:id="525" w:name="Tc_4lSIoKmlvUiIIXVrbztfGw_8_2"/>
      <w:bookmarkStart w:id="526" w:name="Tc_Lv257G4RckCj2xnRSSURJQ_8_0"/>
      <w:bookmarkStart w:id="527" w:name="Tc__x9sLLH97EKvdwRyYEXbjg_7_0"/>
      <w:bookmarkStart w:id="528" w:name="Tc_hOQgCcwDlEOZ7w527UTQ8Q_6_10"/>
      <w:bookmarkStart w:id="529" w:name="Tc_NyYz9ZH4hUyWuUUBbRlv3A_6_8"/>
      <w:bookmarkStart w:id="530" w:name="Tc_bdFUJsYmeEaRVUKcoeq8xg_6_6"/>
      <w:bookmarkStart w:id="531" w:name="Tc_VLuGsFhA-UGpAdXrztKUWQ_6_0"/>
      <w:bookmarkStart w:id="532" w:name="Tc_O9FRgiua9UidxMV_0lMQfw_5_2"/>
      <w:bookmarkStart w:id="533" w:name="Tc_p7ZMi4Oh2UO-xYf56-kaHg_5_0"/>
      <w:bookmarkStart w:id="534" w:name="Tc_s-ubKy4T-EulF4XuFRoipQ_4_10"/>
      <w:bookmarkStart w:id="535" w:name="Tc_3qpc7i5SzESe6e84PEwWOg_3_10"/>
      <w:bookmarkStart w:id="536" w:name="Tc_251KUWjC20aa8-NIo7TZZA_3_8"/>
      <w:bookmarkStart w:id="537" w:name="Tc_NYLKIovwg02OoYriIrVOdA_3_6"/>
      <w:bookmarkStart w:id="538" w:name="Tc_gYGNFObPu0mZUbsaggBhrg_3_4"/>
      <w:bookmarkStart w:id="539" w:name="Tc_WlyHYknNxECtfyFd9Bc3aA_2_10"/>
      <w:bookmarkStart w:id="540" w:name="Tc_8zjCS3sVwkCY4LQi2pS03w_2_8"/>
      <w:bookmarkStart w:id="541" w:name="Tc_TAyO8dG_2EGAErKaBGa-xg_2_6"/>
      <w:bookmarkStart w:id="542" w:name="Tc_I23OtL6Lfk28Hv8CUsaG1g_2_4"/>
      <w:bookmarkStart w:id="543" w:name="Tc__9YVFjKnYU-X_VKwp8L5tg_2_2"/>
      <w:bookmarkStart w:id="544" w:name="Tc_uLogrT-dUEeh_88Vak-ozA_1_4"/>
      <w:bookmarkStart w:id="545" w:name="_fc483a79_26f4_4abc_adc2_f8bd83008642"/>
      <w:bookmarkStart w:id="546" w:name="Tc_mOU8Lm6BnUyVt3TOHqwKEw_19_0"/>
      <w:bookmarkStart w:id="547" w:name="Tc_1-GnGNslREyjySoUOVwsXQ_18_0"/>
      <w:bookmarkStart w:id="548" w:name="Tc_Txkm3gftOkuwDg3VuaCuwg_17_0"/>
      <w:bookmarkStart w:id="549" w:name="Tc_I8KXAtu9O02akWaHCsnk1Q_16_0"/>
      <w:bookmarkStart w:id="550" w:name="Tc_KKkc2tl8Pk-k_qS0Eb25Xw_15_0"/>
      <w:bookmarkStart w:id="551" w:name="Tc_EObrSbeOwkeoewMATA-rRA_14_0"/>
      <w:bookmarkStart w:id="552" w:name="Tc_5vWxEp07gE-0trg5qZzDXg_13_0"/>
      <w:bookmarkStart w:id="553" w:name="Tc_0WtTtCuGGEeRUzS2_VouOw_12_0"/>
      <w:bookmarkStart w:id="554" w:name="Tc_pxyNtAcL9k-xpbodvbNBBQ_11_2"/>
      <w:bookmarkStart w:id="555" w:name="Tc_HwZFJoAcQEy9X8o6k8iBKg_11_0"/>
      <w:bookmarkStart w:id="556" w:name="Tc_kwXpb3Gbqk2Pzo3c1ro4Yg_10_0"/>
      <w:bookmarkStart w:id="557" w:name="Tc_mmoLovUo1EmxQLusFbBCTw_9_0"/>
      <w:bookmarkStart w:id="558" w:name="Tc_4lSIoKmlvUiIIXVrbztfGw_8_2"/>
      <w:bookmarkStart w:id="559" w:name="Tc_Lv257G4RckCj2xnRSSURJQ_8_0"/>
      <w:bookmarkStart w:id="560" w:name="Tc__x9sLLH97EKvdwRyYEXbjg_7_0"/>
      <w:bookmarkStart w:id="561" w:name="Tc_hOQgCcwDlEOZ7w527UTQ8Q_6_10"/>
      <w:bookmarkStart w:id="562" w:name="Tc_NyYz9ZH4hUyWuUUBbRlv3A_6_8"/>
      <w:bookmarkStart w:id="563" w:name="Tc_bdFUJsYmeEaRVUKcoeq8xg_6_6"/>
      <w:bookmarkStart w:id="564" w:name="Tc_VLuGsFhA-UGpAdXrztKUWQ_6_0"/>
      <w:bookmarkStart w:id="565" w:name="Tc_O9FRgiua9UidxMV_0lMQfw_5_2"/>
      <w:bookmarkStart w:id="566" w:name="Tc_p7ZMi4Oh2UO-xYf56-kaHg_5_0"/>
      <w:bookmarkStart w:id="567" w:name="Tc_s-ubKy4T-EulF4XuFRoipQ_4_10"/>
      <w:bookmarkStart w:id="568" w:name="Tc_3qpc7i5SzESe6e84PEwWOg_3_10"/>
      <w:bookmarkStart w:id="569" w:name="Tc_251KUWjC20aa8-NIo7TZZA_3_8"/>
      <w:bookmarkStart w:id="570" w:name="Tc_NYLKIovwg02OoYriIrVOdA_3_6"/>
      <w:bookmarkStart w:id="571" w:name="Tc_gYGNFObPu0mZUbsaggBhrg_3_4"/>
      <w:bookmarkStart w:id="572" w:name="Tc_WlyHYknNxECtfyFd9Bc3aA_2_10"/>
      <w:bookmarkStart w:id="573" w:name="Tc_8zjCS3sVwkCY4LQi2pS03w_2_8"/>
      <w:bookmarkStart w:id="574" w:name="Tc_TAyO8dG_2EGAErKaBGa-xg_2_6"/>
      <w:bookmarkStart w:id="575" w:name="Tc_I23OtL6Lfk28Hv8CUsaG1g_2_4"/>
      <w:bookmarkStart w:id="576" w:name="Tc__9YVFjKnYU-X_VKwp8L5tg_2_2"/>
      <w:bookmarkStart w:id="577" w:name="Tc_uLogrT-dUEeh_88Vak-ozA_1_4"/>
      <w:bookmarkStart w:id="578" w:name="_fc483a79_26f4_4abc_adc2_f8bd83008642"/>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CellMar>
          <w:top w:w="0" w:type="dxa"/>
          <w:left w:w="0" w:type="dxa"/>
          <w:bottom w:w="0" w:type="dxa"/>
          <w:right w:w="0" w:type="dxa"/>
        </w:tblCellMar>
      </w:tblPr>
      <w:tblGrid>
        <w:gridCol w:w="3061"/>
        <w:gridCol w:w="326"/>
        <w:gridCol w:w="451"/>
        <w:gridCol w:w="326"/>
        <w:gridCol w:w="1144"/>
        <w:gridCol w:w="326"/>
        <w:gridCol w:w="1291"/>
        <w:gridCol w:w="326"/>
        <w:gridCol w:w="1291"/>
        <w:gridCol w:w="326"/>
        <w:gridCol w:w="1337"/>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943735" cy="175260"/>
                      <wp:effectExtent l="0" t="0" r="0" b="0"/>
                      <wp:wrapNone/>
                      <wp:docPr id="321" name="Frame314"/>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2"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86385" cy="175260"/>
                      <wp:effectExtent l="0" t="0" r="0" b="0"/>
                      <wp:wrapNone/>
                      <wp:docPr id="323" name="Frame316"/>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4"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26440" cy="175260"/>
                      <wp:effectExtent l="0" t="0" r="0" b="0"/>
                      <wp:wrapNone/>
                      <wp:docPr id="325" name="Frame318"/>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6"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819785" cy="175260"/>
                      <wp:effectExtent l="0" t="0" r="0" b="0"/>
                      <wp:wrapNone/>
                      <wp:docPr id="327" name="Frame320"/>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8"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19785" cy="175260"/>
                      <wp:effectExtent l="0" t="0" r="0" b="0"/>
                      <wp:wrapNone/>
                      <wp:docPr id="329" name="Frame322"/>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0"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848995" cy="175260"/>
                      <wp:effectExtent l="0" t="0" r="0" b="0"/>
                      <wp:wrapNone/>
                      <wp:docPr id="331" name="Frame324"/>
                      <a:graphic xmlns:a="http://schemas.openxmlformats.org/drawingml/2006/main">
                        <a:graphicData uri="http://schemas.microsoft.com/office/word/2010/wordprocessingShape">
                          <wps:wsp>
                            <wps:cNvSpPr txBox="1"/>
                            <wps:spPr>
                              <a:xfrm>
                                <a:off x="0" y="0"/>
                                <a:ext cx="848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041"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w:t>
            </w:r>
          </w:p>
        </w:tc>
        <w:tc>
          <w:tcPr>
            <w:tcW w:w="114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33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33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3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30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spacing w:before="0" w:after="1"/>
              <w:ind w:left="0" w:right="0" w:hanging="0"/>
              <w:jc w:val="center"/>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jc w:val="center"/>
              <w:rPr/>
            </w:pPr>
            <w:r>
              <w:rPr/>
              <w:t>​</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(165,047)</w:t>
            </w:r>
          </w:p>
        </w:tc>
        <w:tc>
          <w:tcPr>
            <w:tcW w:w="326" w:type="dxa"/>
            <w:tcBorders/>
            <w:shd w:fill="CCEEFF" w:val="clear"/>
            <w:vAlign w:val="center"/>
          </w:tcPr>
          <w:p>
            <w:pPr>
              <w:pStyle w:val="TableContents"/>
              <w:spacing w:before="0" w:after="1"/>
              <w:ind w:left="0" w:right="0" w:hanging="0"/>
              <w:jc w:val="center"/>
              <w:rPr/>
            </w:pPr>
            <w:r>
              <w:rPr/>
              <w:t>​</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CCEEFF" w:val="clear"/>
            <w:vAlign w:val="center"/>
          </w:tcPr>
          <w:p>
            <w:pPr>
              <w:pStyle w:val="TableContents"/>
              <w:spacing w:before="0" w:after="1"/>
              <w:ind w:left="0" w:right="0" w:hanging="0"/>
              <w:jc w:val="center"/>
              <w:rPr/>
            </w:pPr>
            <w:r>
              <w:rPr/>
              <w:t>​</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CCEEFF" w:val="clear"/>
            <w:vAlign w:val="center"/>
          </w:tcPr>
          <w:p>
            <w:pPr>
              <w:pStyle w:val="TableContents"/>
              <w:spacing w:before="0" w:after="1"/>
              <w:ind w:left="0" w:right="0" w:hanging="0"/>
              <w:jc w:val="center"/>
              <w:rPr/>
            </w:pPr>
            <w:r>
              <w:rPr/>
              <w:t>​</w:t>
            </w:r>
          </w:p>
        </w:tc>
        <w:tc>
          <w:tcPr>
            <w:tcW w:w="13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(130,292)</w:t>
            </w:r>
          </w:p>
        </w:tc>
      </w:tr>
      <w:tr>
        <w:trPr/>
        <w:tc>
          <w:tcPr>
            <w:tcW w:w="306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dividends to preferred shareholders upon repurchases of convertible preferred shares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3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06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Comprehensive loss attributable to ordinary shareholders of DiDi Global Inc.</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(16,606,528)</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(51,629,826)</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(20,109,082)</w:t>
            </w:r>
          </w:p>
        </w:tc>
        <w:tc>
          <w:tcPr>
            <w:tcW w:w="326" w:type="dxa"/>
            <w:tcBorders/>
            <w:shd w:fill="CCEEFF" w:val="clear"/>
            <w:vAlign w:val="center"/>
          </w:tcPr>
          <w:p>
            <w:pPr>
              <w:pStyle w:val="TableContents"/>
              <w:spacing w:before="0" w:after="1"/>
              <w:ind w:left="0" w:right="0" w:hanging="0"/>
              <w:rPr/>
            </w:pPr>
            <w:r>
              <w:rPr/>
              <w:t> </w:t>
            </w:r>
          </w:p>
        </w:tc>
        <w:tc>
          <w:tcPr>
            <w:tcW w:w="133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(2,915,544)</w:t>
            </w:r>
          </w:p>
        </w:tc>
      </w:tr>
      <w:tr>
        <w:trPr/>
        <w:tc>
          <w:tcPr>
            <w:tcW w:w="306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Weighted average number of Class A and Class B ordinary shares used in computing net loss per share</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pPr>
            <w:r>
              <w:rPr/>
              <w:t>  </w:t>
            </w:r>
          </w:p>
        </w:tc>
      </w:tr>
      <w:tr>
        <w:trPr/>
        <w:tc>
          <w:tcPr>
            <w:tcW w:w="3061" w:type="dxa"/>
            <w:tcBorders/>
            <w:shd w:fill="CCEEFF" w:val="clear"/>
            <w:vAlign w:val="center"/>
          </w:tcPr>
          <w:p>
            <w:pPr>
              <w:pStyle w:val="TableContents"/>
              <w:pBdr/>
              <w:spacing w:before="0" w:after="1"/>
              <w:ind w:left="0" w:right="0" w:hanging="0"/>
              <w:rPr/>
            </w:pPr>
            <w:r>
              <w:rPr/>
              <w:t xml:space="preserve">— </w:t>
            </w: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106,694,420</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r>
      <w:tr>
        <w:trPr/>
        <w:tc>
          <w:tcPr>
            <w:tcW w:w="3061" w:type="dxa"/>
            <w:tcBorders/>
            <w:shd w:fill="auto" w:val="clear"/>
            <w:vAlign w:val="center"/>
          </w:tcPr>
          <w:p>
            <w:pPr>
              <w:pStyle w:val="TableContents"/>
              <w:pBdr/>
              <w:spacing w:before="0" w:after="1"/>
              <w:ind w:left="0" w:right="0" w:hanging="0"/>
              <w:rPr/>
            </w:pPr>
            <w:r>
              <w:rPr/>
              <w:t xml:space="preserve">— </w:t>
            </w: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106,694,420</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r>
      <w:tr>
        <w:trPr/>
        <w:tc>
          <w:tcPr>
            <w:tcW w:w="306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per share attributable to Class A and Class B ordinary shareholders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pPr>
            <w:r>
              <w:rPr/>
              <w:t>  </w:t>
            </w:r>
          </w:p>
        </w:tc>
      </w:tr>
      <w:tr>
        <w:trPr/>
        <w:tc>
          <w:tcPr>
            <w:tcW w:w="3061" w:type="dxa"/>
            <w:tcBorders/>
            <w:shd w:fill="auto" w:val="clear"/>
            <w:vAlign w:val="center"/>
          </w:tcPr>
          <w:p>
            <w:pPr>
              <w:pStyle w:val="TableContents"/>
              <w:pBdr/>
              <w:spacing w:before="0" w:after="1"/>
              <w:ind w:left="0" w:right="0" w:hanging="0"/>
              <w:rPr/>
            </w:pPr>
            <w:r>
              <w:rPr/>
              <w:t xml:space="preserve">— </w:t>
            </w:r>
            <w:r>
              <w:rPr>
                <w:rFonts w:ascii="Times New Roman;Times;serif" w:hAnsi="Times New Roman;Times;serif"/>
                <w:sz w:val="20"/>
              </w:rPr>
              <w:t>Basic</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(100.10)</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3061" w:type="dxa"/>
            <w:tcBorders/>
            <w:shd w:fill="CCEEFF" w:val="clear"/>
            <w:vAlign w:val="center"/>
          </w:tcPr>
          <w:p>
            <w:pPr>
              <w:pStyle w:val="TableContents"/>
              <w:pBdr/>
              <w:spacing w:before="0" w:after="1"/>
              <w:ind w:left="0" w:right="0" w:hanging="0"/>
              <w:rPr/>
            </w:pPr>
            <w:r>
              <w:rPr/>
              <w:t xml:space="preserve">— </w:t>
            </w:r>
            <w:r>
              <w:rPr>
                <w:rFonts w:ascii="Times New Roman;Times;serif" w:hAnsi="Times New Roman;Times;serif"/>
                <w:sz w:val="20"/>
              </w:rPr>
              <w:t>Diluted</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(100.10)</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306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Weighted average number of ADS used in computing net loss per ADS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pPr>
            <w:r>
              <w:rPr/>
              <w:t>  </w:t>
            </w:r>
          </w:p>
        </w:tc>
      </w:tr>
      <w:tr>
        <w:trPr/>
        <w:tc>
          <w:tcPr>
            <w:tcW w:w="3061" w:type="dxa"/>
            <w:tcBorders/>
            <w:shd w:fill="CCEEFF" w:val="clear"/>
            <w:vAlign w:val="center"/>
          </w:tcPr>
          <w:p>
            <w:pPr>
              <w:pStyle w:val="TableContents"/>
              <w:pBdr/>
              <w:spacing w:before="0" w:after="1"/>
              <w:ind w:left="0" w:right="0" w:hanging="0"/>
              <w:rPr/>
            </w:pPr>
            <w:r>
              <w:rPr/>
              <w:t xml:space="preserve">— </w:t>
            </w: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426,777,680</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2,631,985,748</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r>
      <w:tr>
        <w:trPr/>
        <w:tc>
          <w:tcPr>
            <w:tcW w:w="3061" w:type="dxa"/>
            <w:tcBorders/>
            <w:shd w:fill="auto" w:val="clear"/>
            <w:vAlign w:val="center"/>
          </w:tcPr>
          <w:p>
            <w:pPr>
              <w:pStyle w:val="TableContents"/>
              <w:pBdr/>
              <w:spacing w:before="0" w:after="1"/>
              <w:ind w:left="0" w:right="0" w:hanging="0"/>
              <w:rPr/>
            </w:pPr>
            <w:r>
              <w:rPr/>
              <w:t xml:space="preserve">— </w:t>
            </w: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426,777,680</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2,631,985,748</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4,843,918,436</w:t>
            </w:r>
          </w:p>
        </w:tc>
      </w:tr>
      <w:tr>
        <w:trPr/>
        <w:tc>
          <w:tcPr>
            <w:tcW w:w="306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per ADS attributable to ADS shareholders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pPr>
            <w:r>
              <w:rPr/>
              <w:t>  </w:t>
            </w:r>
          </w:p>
        </w:tc>
      </w:tr>
      <w:tr>
        <w:trPr/>
        <w:tc>
          <w:tcPr>
            <w:tcW w:w="3061" w:type="dxa"/>
            <w:tcBorders/>
            <w:shd w:fill="auto" w:val="clear"/>
            <w:vAlign w:val="center"/>
          </w:tcPr>
          <w:p>
            <w:pPr>
              <w:pStyle w:val="TableContents"/>
              <w:pBdr/>
              <w:spacing w:before="0" w:after="1"/>
              <w:ind w:left="0" w:right="0" w:hanging="0"/>
              <w:rPr/>
            </w:pPr>
            <w:r>
              <w:rPr/>
              <w:t xml:space="preserve">— </w:t>
            </w:r>
            <w:r>
              <w:rPr>
                <w:rFonts w:ascii="Times New Roman;Times;serif" w:hAnsi="Times New Roman;Times;serif"/>
                <w:sz w:val="20"/>
              </w:rPr>
              <w:t>Basic</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(25.03)</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auto" w:val="clear"/>
            <w:vAlign w:val="center"/>
          </w:tcPr>
          <w:p>
            <w:pPr>
              <w:pStyle w:val="TableContents"/>
              <w:spacing w:before="0" w:after="1"/>
              <w:ind w:left="0" w:right="0" w:hanging="0"/>
              <w:rPr/>
            </w:pPr>
            <w:r>
              <w:rPr/>
              <w:t> </w:t>
            </w:r>
          </w:p>
        </w:tc>
        <w:tc>
          <w:tcPr>
            <w:tcW w:w="13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r>
      <w:tr>
        <w:trPr/>
        <w:tc>
          <w:tcPr>
            <w:tcW w:w="3061" w:type="dxa"/>
            <w:tcBorders/>
            <w:shd w:fill="CCEEFF" w:val="clear"/>
            <w:vAlign w:val="center"/>
          </w:tcPr>
          <w:p>
            <w:pPr>
              <w:pStyle w:val="TableContents"/>
              <w:pBdr/>
              <w:spacing w:before="0" w:after="1"/>
              <w:ind w:left="0" w:right="0" w:hanging="0"/>
              <w:rPr/>
            </w:pPr>
            <w:r>
              <w:rPr/>
              <w:t xml:space="preserve">— </w:t>
            </w:r>
            <w:r>
              <w:rPr>
                <w:rFonts w:ascii="Times New Roman;Times;serif" w:hAnsi="Times New Roman;Times;serif"/>
                <w:sz w:val="20"/>
              </w:rPr>
              <w:t>Diluted</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(25.03)</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CCEEFF" w:val="clear"/>
            <w:vAlign w:val="center"/>
          </w:tcPr>
          <w:p>
            <w:pPr>
              <w:pStyle w:val="TableContents"/>
              <w:spacing w:before="0" w:after="1"/>
              <w:ind w:left="0" w:right="0" w:hanging="0"/>
              <w:rPr/>
            </w:pPr>
            <w:r>
              <w:rPr/>
              <w:t> </w:t>
            </w:r>
          </w:p>
        </w:tc>
        <w:tc>
          <w:tcPr>
            <w:tcW w:w="13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r>
    </w:tbl>
    <w:p>
      <w:pPr>
        <w:pStyle w:val="TextBody"/>
        <w:spacing w:before="0" w:after="240"/>
        <w:ind w:left="0" w:right="0" w:firstLine="720"/>
        <w:rPr/>
      </w:pPr>
      <w:r>
        <w:rPr/>
        <w:t>​</w:t>
      </w:r>
    </w:p>
    <w:p>
      <w:pPr>
        <w:pStyle w:val="TextBody"/>
        <w:spacing w:before="0" w:after="240"/>
        <w:ind w:left="0" w:right="0" w:hanging="0"/>
        <w:rPr/>
      </w:pPr>
      <w:bookmarkStart w:id="579" w:name="ComprehensiveEnd"/>
      <w:bookmarkEnd w:id="579"/>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0" w:name="_15bee206_879d_48ea_9fb6_b870622123d8"/>
      <w:bookmarkEnd w:id="580"/>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bookmarkStart w:id="581" w:name="CONSOLIDATEDSTATEMENTSOFSHAREHOLDERSEQUI"/>
      <w:bookmarkEnd w:id="581"/>
      <w:r>
        <w:rPr>
          <w:rFonts w:ascii="Times New Roman;Times;serif" w:hAnsi="Times New Roman;Times;serif"/>
          <w:b/>
          <w:sz w:val="20"/>
        </w:rPr>
        <w:t>CONSOLIDATED STATEMENTS OF SHAREHOLDERS’ EQUITY (DEFICIT)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582" w:name="Tc_NpfcBXIUwU2B9qi0mNxZyg_18_0"/>
      <w:bookmarkStart w:id="583" w:name="Tc_4c9msvFAAEWgSeuXmc3ADw_17_14"/>
      <w:bookmarkStart w:id="584" w:name="Tc_lNHUl9RThEO_6NabS2CImw_17_12"/>
      <w:bookmarkStart w:id="585" w:name="Tc_WNBGvJTFjUq9OwTOAMHe2Q_17_10"/>
      <w:bookmarkStart w:id="586" w:name="Tc_kGqtNRajPU6PvokIK2H1SA_17_8"/>
      <w:bookmarkStart w:id="587" w:name="Tc_Zr8Hh0929Uittboqj_n6YA_17_6"/>
      <w:bookmarkStart w:id="588" w:name="Tc_b16CkJBCl0u0zO2m8XSA1Q_17_4"/>
      <w:bookmarkStart w:id="589" w:name="Tc_u_coedeI9EuxS8Ez8SEX3g_17_2"/>
      <w:bookmarkStart w:id="590" w:name="Tc_plMdn225QUS_BYokTkdWjQ_17_0"/>
      <w:bookmarkStart w:id="591" w:name="Tc_nXsZhDkZU0ua3QeM_gmGaA_16_18"/>
      <w:bookmarkStart w:id="592" w:name="Tc_57KqX1vD-UiILP45X0irfw_16_16"/>
      <w:bookmarkStart w:id="593" w:name="Tc_0zZ-d0501UazTBtO-YDk-g_16_14"/>
      <w:bookmarkStart w:id="594" w:name="Tc_SnI3cfS6f0uemdX_t-N7Og_16_12"/>
      <w:bookmarkStart w:id="595" w:name="Tc_oxAiLkURJEKPmYhRfvH1qQ_16_8"/>
      <w:bookmarkStart w:id="596" w:name="Tc_vGqeJEW_mUOGZchtCBmIqA_16_6"/>
      <w:bookmarkStart w:id="597" w:name="Tc_1ZaYl6T8UkCd6IIOluWBuA_16_4"/>
      <w:bookmarkStart w:id="598" w:name="Tc__0fl8VmVhES3Xf4Mye8r0w_16_2"/>
      <w:bookmarkStart w:id="599" w:name="Tc_WptU51PggEu7LYGbKEQjgA_16_0"/>
      <w:bookmarkStart w:id="600" w:name="Tc_nhTBuxtInkC19UdHiKc80Q_15_18"/>
      <w:bookmarkStart w:id="601" w:name="Tc_e0w5p2ZezEiRu5ptSbFZ9A_15_16"/>
      <w:bookmarkStart w:id="602" w:name="Tc_pHi6ve_nVkm2PLhNSHEIsg_15_12"/>
      <w:bookmarkStart w:id="603" w:name="Tc_2u07yEJp0EChx38ciVyC4g_15_10"/>
      <w:bookmarkStart w:id="604" w:name="Tc_V2nbrYL6J0qCkfjryYCd3w_15_8"/>
      <w:bookmarkStart w:id="605" w:name="Tc_Sagpjdo8qUOsikwQf_nXtQ_15_6"/>
      <w:bookmarkStart w:id="606" w:name="Tc_yDRizJKY-UaxFiVthDQJmQ_15_4"/>
      <w:bookmarkStart w:id="607" w:name="Tc_pLMMsWSlRU6Yuiho10qIPQ_15_2"/>
      <w:bookmarkStart w:id="608" w:name="Tc_hDYIse_Ta0-hgQE-B5stLA_15_0"/>
      <w:bookmarkStart w:id="609" w:name="Tc_dGWbqsD0A0S-vYMFCzzRYA_14_18"/>
      <w:bookmarkStart w:id="610" w:name="Tc_1SXidHglA0OUMXzAtXXTwA_14_16"/>
      <w:bookmarkStart w:id="611" w:name="Tc_jQ50TYek_U6dXRNbW1-yXw_14_12"/>
      <w:bookmarkStart w:id="612" w:name="Tc_chOWJ7rWuUOfRNUWIui8AQ_14_10"/>
      <w:bookmarkStart w:id="613" w:name="Tc_12LG801EbkubqPqBqPfzQg_14_8"/>
      <w:bookmarkStart w:id="614" w:name="Tc_S_oySIyyw0OlVfB4Me8Q0w_14_6"/>
      <w:bookmarkStart w:id="615" w:name="Tc_NHd5JLpibEGaLzDCO9WX4A_14_4"/>
      <w:bookmarkStart w:id="616" w:name="Tc_FXpNXgGmvUGwtsn_vdmKxw_14_2"/>
      <w:bookmarkStart w:id="617" w:name="Tc_hfOKAzVC10if9_AxNuqitQ_14_0"/>
      <w:bookmarkStart w:id="618" w:name="Tc_0lfY_20M30KCxVPsb2SmzA_13_20"/>
      <w:bookmarkStart w:id="619" w:name="Tc_-NNxZQwbDk-KTiVs0_92Qw_13_18"/>
      <w:bookmarkStart w:id="620" w:name="Tc_nJBUGOA_P0GUs3SwifolGQ_13_14"/>
      <w:bookmarkStart w:id="621" w:name="Tc_ypsdR2pj9ECeHr4xjorUzw_13_10"/>
      <w:bookmarkStart w:id="622" w:name="Tc_s441xzOtrkG2DaXuxczRkA_13_8"/>
      <w:bookmarkStart w:id="623" w:name="Tc_On8KdOg4fEK0B9YQ2D48Vg_13_6"/>
      <w:bookmarkStart w:id="624" w:name="Tc_HT9geCH1HkmEp8delIx_Sg_13_4"/>
      <w:bookmarkStart w:id="625" w:name="Tc_xEMZkReWVEGEE4JihfM73Q_13_2"/>
      <w:bookmarkStart w:id="626" w:name="Tc_GfmL567elUycNG8u7hHaNA_13_0"/>
      <w:bookmarkStart w:id="627" w:name="Tc_gGVSzqBIN0KYBBA0IXOXPw_12_18"/>
      <w:bookmarkStart w:id="628" w:name="Tc_61GTl0Cmuk-1l70Sy5bRMA_12_16"/>
      <w:bookmarkStart w:id="629" w:name="Tc_i3NGPo2-9E2njVJp49k0Lw_12_14"/>
      <w:bookmarkStart w:id="630" w:name="Tc_UmE7CmNwuUup0OppLyU-3w_12_12"/>
      <w:bookmarkStart w:id="631" w:name="Tc_b1fcuroILEO58n6nA_qD7Q_12_8"/>
      <w:bookmarkStart w:id="632" w:name="Tc_27oPhD_nWk-ugKTWM2S6-Q_12_6"/>
      <w:bookmarkStart w:id="633" w:name="Tc_2vXWvn5D0k2-DjfEjdH8gA_12_4"/>
      <w:bookmarkStart w:id="634" w:name="Tc_Nl6aK8TqA0WqNYOTnIZVhA_12_2"/>
      <w:bookmarkStart w:id="635" w:name="Tc_iBGO7evaQkuKt3W_oaek5w_12_0"/>
      <w:bookmarkStart w:id="636" w:name="Tc_Wfx4OvA4ZUmsCgD0dI5acg_11_20"/>
      <w:bookmarkStart w:id="637" w:name="Tc_fThSZdR6KUGkrXobJVtz3Q_11_18"/>
      <w:bookmarkStart w:id="638" w:name="Tc_oP6uQ-vU60m-Y0a6vLbuig_11_16"/>
      <w:bookmarkStart w:id="639" w:name="Tc_IHs9_K_QEEaFtcVc8B3WQA_11_14"/>
      <w:bookmarkStart w:id="640" w:name="Tc_eQoHrsYnB06lQhIHHB5QHQ_11_12"/>
      <w:bookmarkStart w:id="641" w:name="Tc_-zL8rBjEJ0OM_NTLXS54cQ_11_10"/>
      <w:bookmarkStart w:id="642" w:name="Tc_NXjyKBYYWkaapwM3UiJeqg_11_8"/>
      <w:bookmarkStart w:id="643" w:name="Tc_1GdxOd5hSki7D0N4GPaxOA_11_4"/>
      <w:bookmarkStart w:id="644" w:name="Tc_AOjNeCbmukyaz6o0A--7CQ_11_2"/>
      <w:bookmarkStart w:id="645" w:name="Tc_x2tn0-PHfUirwGSmRgExiw_11_0"/>
      <w:bookmarkStart w:id="646" w:name="Tc_6vhhAHvH-EuFvV0qtcWAUg_10_18"/>
      <w:bookmarkStart w:id="647" w:name="Tc_ps2Lat5vXUKMpDWcZfqPYg_10_16"/>
      <w:bookmarkStart w:id="648" w:name="Tc_QKxQaCDN_EaxOmo_h_zRlg_10_14"/>
      <w:bookmarkStart w:id="649" w:name="Tc_m6Ef4SBY5EOd9rModTiCBw_10_12"/>
      <w:bookmarkStart w:id="650" w:name="Tc_nB9o_jY0PUaXPQc0IvuPRw_10_8"/>
      <w:bookmarkStart w:id="651" w:name="Tc_TX4U43k95kGjJ4U1v5pWrw_10_6"/>
      <w:bookmarkStart w:id="652" w:name="Tc_6DrOAOpqRkK6LFvqWZGf7Q_10_4"/>
      <w:bookmarkStart w:id="653" w:name="Tc_qltZVLIbQkarKSLledIRDg_10_0"/>
      <w:bookmarkStart w:id="654" w:name="Tc_fHdSQaJC2UukmeurAWuf1w_9_18"/>
      <w:bookmarkStart w:id="655" w:name="Tc_nuJsmjyHdUuR9Llyz_wIFw_9_16"/>
      <w:bookmarkStart w:id="656" w:name="Tc_IZB96ODikk-4sCVHMVk-0Q_9_14"/>
      <w:bookmarkStart w:id="657" w:name="Tc_qij4pONVCEO4KZq1FJlwsg_9_12"/>
      <w:bookmarkStart w:id="658" w:name="Tc_6DaVzQFmH06uX1qhIw59_A_9_0"/>
      <w:bookmarkStart w:id="659" w:name="Tc_aPlTRqJQsEqRcd-5lE5PMw_8_18"/>
      <w:bookmarkStart w:id="660" w:name="Tc_U_zNrDamc0Ox2MOW7S-dzw_8_14"/>
      <w:bookmarkStart w:id="661" w:name="Tc_jucef0Jsh0S_lbnfdG6gAg_8_12"/>
      <w:bookmarkStart w:id="662" w:name="Tc_EtJmxtQ3VkGRUzjf0owiCw_8_10"/>
      <w:bookmarkStart w:id="663" w:name="Tc_9rwZej-gsUOx83GbTSNMzA_8_8"/>
      <w:bookmarkStart w:id="664" w:name="Tc_TIMKuW3aR0WnrNH0lDPW0A_8_6"/>
      <w:bookmarkStart w:id="665" w:name="Tc_2SbSkCvV6UOvigzz1526ZQ_8_4"/>
      <w:bookmarkStart w:id="666" w:name="Tc_mqdaFS-W5067RUyT_ckYoA_8_2"/>
      <w:bookmarkStart w:id="667" w:name="Tc_IpQgc0LWcE68coBQXC_dzQ_8_0"/>
      <w:bookmarkStart w:id="668" w:name="Tc_s6-VEtrViUupfEUZ6U5dHg_7_18"/>
      <w:bookmarkStart w:id="669" w:name="Tc_kUIJGkFELUeNJrSW98oGnA_7_16"/>
      <w:bookmarkStart w:id="670" w:name="Tc_Vgn825c7qESLYBIo74EG9Q_7_14"/>
      <w:bookmarkStart w:id="671" w:name="Tc_tV8OKA8c9kKnBKfpEDUvhA_7_12"/>
      <w:bookmarkStart w:id="672" w:name="Tc_keX4xyg0SkC0rvVQey-e2A_7_8"/>
      <w:bookmarkStart w:id="673" w:name="Tc_JW67fBTBQkKXW415yw7W3w_7_6"/>
      <w:bookmarkStart w:id="674" w:name="Tc_c8xAWn_7cUSs11Otagm-jQ_7_4"/>
      <w:bookmarkStart w:id="675" w:name="Tc_1a2KBHeRIEKGNz075jNPSQ_7_2"/>
      <w:bookmarkStart w:id="676" w:name="Tc_fMtwW2oSWkK3wpTG7MgKdg_7_0"/>
      <w:bookmarkStart w:id="677" w:name="Tc_N5qIOPbVP0GcioBjBqgKRw_6_8"/>
      <w:bookmarkStart w:id="678" w:name="Tc_5F_fxtRGVUeHKtnOIDkuQA_6_0"/>
      <w:bookmarkStart w:id="679" w:name="Tc_0WDZbHht-0-us3iHfTY0Aw_5_20"/>
      <w:bookmarkStart w:id="680" w:name="Tc_PRNOcmgZs0yaEuWRycJu7Q_5_18"/>
      <w:bookmarkStart w:id="681" w:name="Tc_X58XC3h3W0y7Nrt7bzKW3g_5_16"/>
      <w:bookmarkStart w:id="682" w:name="Tc_uGmLym7drku_cMfhcfFSuw_5_14"/>
      <w:bookmarkStart w:id="683" w:name="Tc_Z8M1VZk_xE6ah0kv5Pohuw_5_12"/>
      <w:bookmarkStart w:id="684" w:name="Tc_Lz8Z41rXSkColthCXSQvZw_5_10"/>
      <w:bookmarkStart w:id="685" w:name="Tc_6lhxdd92A0CHqdGBXxdACA_5_8"/>
      <w:bookmarkStart w:id="686" w:name="Tc_v6IefCHalE-TWoO-HaEdGw_5_4"/>
      <w:bookmarkStart w:id="687" w:name="Tc_wfT4P2ZTbUGy9wWAu2mdHQ_4_20"/>
      <w:bookmarkStart w:id="688" w:name="Tc_7OP_I8CAUEK4Xan84alcoQ_4_18"/>
      <w:bookmarkStart w:id="689" w:name="Tc_ZKLnfKE7CUKffR_XFVG5RQ_4_16"/>
      <w:bookmarkStart w:id="690" w:name="Tc_yOXgGVTwjE2LkMxGzvg2JA_4_14"/>
      <w:bookmarkStart w:id="691" w:name="Tc_SjKOIxrfqUalO0p5zyNptg_4_12"/>
      <w:bookmarkStart w:id="692" w:name="Tc_NUm3tVSapUu-nq4-OZNZmg_4_10"/>
      <w:bookmarkStart w:id="693" w:name="Tc_XHh0E2T7NEyB5z3g7aA-uQ_4_8"/>
      <w:bookmarkStart w:id="694" w:name="Tc_ecrjMypih0G2xrWqrD57EA_4_6"/>
      <w:bookmarkStart w:id="695" w:name="Tc_t4-ncs5gtUWWPLxN2ewixg_4_4"/>
      <w:bookmarkStart w:id="696" w:name="Tc_Dkerm6YSeUmAwgHU1kZpFQ_4_2"/>
      <w:bookmarkStart w:id="697" w:name="Tc_YgAH34iJYE6iKl3B3LigMQ_3_20"/>
      <w:bookmarkStart w:id="698" w:name="Tc_OW-iIxYoGka1UZv-8e198A_3_18"/>
      <w:bookmarkStart w:id="699" w:name="Tc_I-XYT_1Lr0iqRun4hg49Lg_3_16"/>
      <w:bookmarkStart w:id="700" w:name="Tc_7K6BZ7So2kuKmcvJvysZMA_3_14"/>
      <w:bookmarkStart w:id="701" w:name="Tc_QZi01M9ddUOP3fVl-UblLw_3_12"/>
      <w:bookmarkStart w:id="702" w:name="Tc_Z5seguQTXkyKkfMc-Nm9wQ_3_10"/>
      <w:bookmarkStart w:id="703" w:name="Tc_CjxUJhPpOEiyHZdEE9s-Rw_3_6"/>
      <w:bookmarkStart w:id="704" w:name="Tc_vmW5As0RM0GIBZZFZZaSBQ_3_2"/>
      <w:bookmarkStart w:id="705" w:name="Tc_3yRvlREUdEOmsifGZdbwfA_2_20"/>
      <w:bookmarkStart w:id="706" w:name="Tc_9MasK1llGEq8ZLlEPNFHgA_2_18"/>
      <w:bookmarkStart w:id="707" w:name="Tc_BBFjR8RBB0qvqhm5RIrl9g_2_14"/>
      <w:bookmarkStart w:id="708" w:name="Tc_ep4Mavnyg0WvkXbxGUJsoA_2_10"/>
      <w:bookmarkStart w:id="709" w:name="Tc_b4MjJFFh-E2JCtksorsp1g_1_14"/>
      <w:bookmarkStart w:id="710" w:name="_34bed084_437d_4505_b5cf_3abf6799b216"/>
      <w:bookmarkStart w:id="711" w:name="Tc_NpfcBXIUwU2B9qi0mNxZyg_18_0"/>
      <w:bookmarkStart w:id="712" w:name="Tc_4c9msvFAAEWgSeuXmc3ADw_17_14"/>
      <w:bookmarkStart w:id="713" w:name="Tc_lNHUl9RThEO_6NabS2CImw_17_12"/>
      <w:bookmarkStart w:id="714" w:name="Tc_WNBGvJTFjUq9OwTOAMHe2Q_17_10"/>
      <w:bookmarkStart w:id="715" w:name="Tc_kGqtNRajPU6PvokIK2H1SA_17_8"/>
      <w:bookmarkStart w:id="716" w:name="Tc_Zr8Hh0929Uittboqj_n6YA_17_6"/>
      <w:bookmarkStart w:id="717" w:name="Tc_b16CkJBCl0u0zO2m8XSA1Q_17_4"/>
      <w:bookmarkStart w:id="718" w:name="Tc_u_coedeI9EuxS8Ez8SEX3g_17_2"/>
      <w:bookmarkStart w:id="719" w:name="Tc_plMdn225QUS_BYokTkdWjQ_17_0"/>
      <w:bookmarkStart w:id="720" w:name="Tc_nXsZhDkZU0ua3QeM_gmGaA_16_18"/>
      <w:bookmarkStart w:id="721" w:name="Tc_57KqX1vD-UiILP45X0irfw_16_16"/>
      <w:bookmarkStart w:id="722" w:name="Tc_0zZ-d0501UazTBtO-YDk-g_16_14"/>
      <w:bookmarkStart w:id="723" w:name="Tc_SnI3cfS6f0uemdX_t-N7Og_16_12"/>
      <w:bookmarkStart w:id="724" w:name="Tc_oxAiLkURJEKPmYhRfvH1qQ_16_8"/>
      <w:bookmarkStart w:id="725" w:name="Tc_vGqeJEW_mUOGZchtCBmIqA_16_6"/>
      <w:bookmarkStart w:id="726" w:name="Tc_1ZaYl6T8UkCd6IIOluWBuA_16_4"/>
      <w:bookmarkStart w:id="727" w:name="Tc__0fl8VmVhES3Xf4Mye8r0w_16_2"/>
      <w:bookmarkStart w:id="728" w:name="Tc_WptU51PggEu7LYGbKEQjgA_16_0"/>
      <w:bookmarkStart w:id="729" w:name="Tc_nhTBuxtInkC19UdHiKc80Q_15_18"/>
      <w:bookmarkStart w:id="730" w:name="Tc_e0w5p2ZezEiRu5ptSbFZ9A_15_16"/>
      <w:bookmarkStart w:id="731" w:name="Tc_pHi6ve_nVkm2PLhNSHEIsg_15_12"/>
      <w:bookmarkStart w:id="732" w:name="Tc_2u07yEJp0EChx38ciVyC4g_15_10"/>
      <w:bookmarkStart w:id="733" w:name="Tc_V2nbrYL6J0qCkfjryYCd3w_15_8"/>
      <w:bookmarkStart w:id="734" w:name="Tc_Sagpjdo8qUOsikwQf_nXtQ_15_6"/>
      <w:bookmarkStart w:id="735" w:name="Tc_yDRizJKY-UaxFiVthDQJmQ_15_4"/>
      <w:bookmarkStart w:id="736" w:name="Tc_pLMMsWSlRU6Yuiho10qIPQ_15_2"/>
      <w:bookmarkStart w:id="737" w:name="Tc_hDYIse_Ta0-hgQE-B5stLA_15_0"/>
      <w:bookmarkStart w:id="738" w:name="Tc_dGWbqsD0A0S-vYMFCzzRYA_14_18"/>
      <w:bookmarkStart w:id="739" w:name="Tc_1SXidHglA0OUMXzAtXXTwA_14_16"/>
      <w:bookmarkStart w:id="740" w:name="Tc_jQ50TYek_U6dXRNbW1-yXw_14_12"/>
      <w:bookmarkStart w:id="741" w:name="Tc_chOWJ7rWuUOfRNUWIui8AQ_14_10"/>
      <w:bookmarkStart w:id="742" w:name="Tc_12LG801EbkubqPqBqPfzQg_14_8"/>
      <w:bookmarkStart w:id="743" w:name="Tc_S_oySIyyw0OlVfB4Me8Q0w_14_6"/>
      <w:bookmarkStart w:id="744" w:name="Tc_NHd5JLpibEGaLzDCO9WX4A_14_4"/>
      <w:bookmarkStart w:id="745" w:name="Tc_FXpNXgGmvUGwtsn_vdmKxw_14_2"/>
      <w:bookmarkStart w:id="746" w:name="Tc_hfOKAzVC10if9_AxNuqitQ_14_0"/>
      <w:bookmarkStart w:id="747" w:name="Tc_0lfY_20M30KCxVPsb2SmzA_13_20"/>
      <w:bookmarkStart w:id="748" w:name="Tc_-NNxZQwbDk-KTiVs0_92Qw_13_18"/>
      <w:bookmarkStart w:id="749" w:name="Tc_nJBUGOA_P0GUs3SwifolGQ_13_14"/>
      <w:bookmarkStart w:id="750" w:name="Tc_ypsdR2pj9ECeHr4xjorUzw_13_10"/>
      <w:bookmarkStart w:id="751" w:name="Tc_s441xzOtrkG2DaXuxczRkA_13_8"/>
      <w:bookmarkStart w:id="752" w:name="Tc_On8KdOg4fEK0B9YQ2D48Vg_13_6"/>
      <w:bookmarkStart w:id="753" w:name="Tc_HT9geCH1HkmEp8delIx_Sg_13_4"/>
      <w:bookmarkStart w:id="754" w:name="Tc_xEMZkReWVEGEE4JihfM73Q_13_2"/>
      <w:bookmarkStart w:id="755" w:name="Tc_GfmL567elUycNG8u7hHaNA_13_0"/>
      <w:bookmarkStart w:id="756" w:name="Tc_gGVSzqBIN0KYBBA0IXOXPw_12_18"/>
      <w:bookmarkStart w:id="757" w:name="Tc_61GTl0Cmuk-1l70Sy5bRMA_12_16"/>
      <w:bookmarkStart w:id="758" w:name="Tc_i3NGPo2-9E2njVJp49k0Lw_12_14"/>
      <w:bookmarkStart w:id="759" w:name="Tc_UmE7CmNwuUup0OppLyU-3w_12_12"/>
      <w:bookmarkStart w:id="760" w:name="Tc_b1fcuroILEO58n6nA_qD7Q_12_8"/>
      <w:bookmarkStart w:id="761" w:name="Tc_27oPhD_nWk-ugKTWM2S6-Q_12_6"/>
      <w:bookmarkStart w:id="762" w:name="Tc_2vXWvn5D0k2-DjfEjdH8gA_12_4"/>
      <w:bookmarkStart w:id="763" w:name="Tc_Nl6aK8TqA0WqNYOTnIZVhA_12_2"/>
      <w:bookmarkStart w:id="764" w:name="Tc_iBGO7evaQkuKt3W_oaek5w_12_0"/>
      <w:bookmarkStart w:id="765" w:name="Tc_Wfx4OvA4ZUmsCgD0dI5acg_11_20"/>
      <w:bookmarkStart w:id="766" w:name="Tc_fThSZdR6KUGkrXobJVtz3Q_11_18"/>
      <w:bookmarkStart w:id="767" w:name="Tc_oP6uQ-vU60m-Y0a6vLbuig_11_16"/>
      <w:bookmarkStart w:id="768" w:name="Tc_IHs9_K_QEEaFtcVc8B3WQA_11_14"/>
      <w:bookmarkStart w:id="769" w:name="Tc_eQoHrsYnB06lQhIHHB5QHQ_11_12"/>
      <w:bookmarkStart w:id="770" w:name="Tc_-zL8rBjEJ0OM_NTLXS54cQ_11_10"/>
      <w:bookmarkStart w:id="771" w:name="Tc_NXjyKBYYWkaapwM3UiJeqg_11_8"/>
      <w:bookmarkStart w:id="772" w:name="Tc_1GdxOd5hSki7D0N4GPaxOA_11_4"/>
      <w:bookmarkStart w:id="773" w:name="Tc_AOjNeCbmukyaz6o0A--7CQ_11_2"/>
      <w:bookmarkStart w:id="774" w:name="Tc_x2tn0-PHfUirwGSmRgExiw_11_0"/>
      <w:bookmarkStart w:id="775" w:name="Tc_6vhhAHvH-EuFvV0qtcWAUg_10_18"/>
      <w:bookmarkStart w:id="776" w:name="Tc_ps2Lat5vXUKMpDWcZfqPYg_10_16"/>
      <w:bookmarkStart w:id="777" w:name="Tc_QKxQaCDN_EaxOmo_h_zRlg_10_14"/>
      <w:bookmarkStart w:id="778" w:name="Tc_m6Ef4SBY5EOd9rModTiCBw_10_12"/>
      <w:bookmarkStart w:id="779" w:name="Tc_nB9o_jY0PUaXPQc0IvuPRw_10_8"/>
      <w:bookmarkStart w:id="780" w:name="Tc_TX4U43k95kGjJ4U1v5pWrw_10_6"/>
      <w:bookmarkStart w:id="781" w:name="Tc_6DrOAOpqRkK6LFvqWZGf7Q_10_4"/>
      <w:bookmarkStart w:id="782" w:name="Tc_qltZVLIbQkarKSLledIRDg_10_0"/>
      <w:bookmarkStart w:id="783" w:name="Tc_fHdSQaJC2UukmeurAWuf1w_9_18"/>
      <w:bookmarkStart w:id="784" w:name="Tc_nuJsmjyHdUuR9Llyz_wIFw_9_16"/>
      <w:bookmarkStart w:id="785" w:name="Tc_IZB96ODikk-4sCVHMVk-0Q_9_14"/>
      <w:bookmarkStart w:id="786" w:name="Tc_qij4pONVCEO4KZq1FJlwsg_9_12"/>
      <w:bookmarkStart w:id="787" w:name="Tc_6DaVzQFmH06uX1qhIw59_A_9_0"/>
      <w:bookmarkStart w:id="788" w:name="Tc_aPlTRqJQsEqRcd-5lE5PMw_8_18"/>
      <w:bookmarkStart w:id="789" w:name="Tc_U_zNrDamc0Ox2MOW7S-dzw_8_14"/>
      <w:bookmarkStart w:id="790" w:name="Tc_jucef0Jsh0S_lbnfdG6gAg_8_12"/>
      <w:bookmarkStart w:id="791" w:name="Tc_EtJmxtQ3VkGRUzjf0owiCw_8_10"/>
      <w:bookmarkStart w:id="792" w:name="Tc_9rwZej-gsUOx83GbTSNMzA_8_8"/>
      <w:bookmarkStart w:id="793" w:name="Tc_TIMKuW3aR0WnrNH0lDPW0A_8_6"/>
      <w:bookmarkStart w:id="794" w:name="Tc_2SbSkCvV6UOvigzz1526ZQ_8_4"/>
      <w:bookmarkStart w:id="795" w:name="Tc_mqdaFS-W5067RUyT_ckYoA_8_2"/>
      <w:bookmarkStart w:id="796" w:name="Tc_IpQgc0LWcE68coBQXC_dzQ_8_0"/>
      <w:bookmarkStart w:id="797" w:name="Tc_s6-VEtrViUupfEUZ6U5dHg_7_18"/>
      <w:bookmarkStart w:id="798" w:name="Tc_kUIJGkFELUeNJrSW98oGnA_7_16"/>
      <w:bookmarkStart w:id="799" w:name="Tc_Vgn825c7qESLYBIo74EG9Q_7_14"/>
      <w:bookmarkStart w:id="800" w:name="Tc_tV8OKA8c9kKnBKfpEDUvhA_7_12"/>
      <w:bookmarkStart w:id="801" w:name="Tc_keX4xyg0SkC0rvVQey-e2A_7_8"/>
      <w:bookmarkStart w:id="802" w:name="Tc_JW67fBTBQkKXW415yw7W3w_7_6"/>
      <w:bookmarkStart w:id="803" w:name="Tc_c8xAWn_7cUSs11Otagm-jQ_7_4"/>
      <w:bookmarkStart w:id="804" w:name="Tc_1a2KBHeRIEKGNz075jNPSQ_7_2"/>
      <w:bookmarkStart w:id="805" w:name="Tc_fMtwW2oSWkK3wpTG7MgKdg_7_0"/>
      <w:bookmarkStart w:id="806" w:name="Tc_N5qIOPbVP0GcioBjBqgKRw_6_8"/>
      <w:bookmarkStart w:id="807" w:name="Tc_5F_fxtRGVUeHKtnOIDkuQA_6_0"/>
      <w:bookmarkStart w:id="808" w:name="Tc_0WDZbHht-0-us3iHfTY0Aw_5_20"/>
      <w:bookmarkStart w:id="809" w:name="Tc_PRNOcmgZs0yaEuWRycJu7Q_5_18"/>
      <w:bookmarkStart w:id="810" w:name="Tc_X58XC3h3W0y7Nrt7bzKW3g_5_16"/>
      <w:bookmarkStart w:id="811" w:name="Tc_uGmLym7drku_cMfhcfFSuw_5_14"/>
      <w:bookmarkStart w:id="812" w:name="Tc_Z8M1VZk_xE6ah0kv5Pohuw_5_12"/>
      <w:bookmarkStart w:id="813" w:name="Tc_Lz8Z41rXSkColthCXSQvZw_5_10"/>
      <w:bookmarkStart w:id="814" w:name="Tc_6lhxdd92A0CHqdGBXxdACA_5_8"/>
      <w:bookmarkStart w:id="815" w:name="Tc_v6IefCHalE-TWoO-HaEdGw_5_4"/>
      <w:bookmarkStart w:id="816" w:name="Tc_wfT4P2ZTbUGy9wWAu2mdHQ_4_20"/>
      <w:bookmarkStart w:id="817" w:name="Tc_7OP_I8CAUEK4Xan84alcoQ_4_18"/>
      <w:bookmarkStart w:id="818" w:name="Tc_ZKLnfKE7CUKffR_XFVG5RQ_4_16"/>
      <w:bookmarkStart w:id="819" w:name="Tc_yOXgGVTwjE2LkMxGzvg2JA_4_14"/>
      <w:bookmarkStart w:id="820" w:name="Tc_SjKOIxrfqUalO0p5zyNptg_4_12"/>
      <w:bookmarkStart w:id="821" w:name="Tc_NUm3tVSapUu-nq4-OZNZmg_4_10"/>
      <w:bookmarkStart w:id="822" w:name="Tc_XHh0E2T7NEyB5z3g7aA-uQ_4_8"/>
      <w:bookmarkStart w:id="823" w:name="Tc_ecrjMypih0G2xrWqrD57EA_4_6"/>
      <w:bookmarkStart w:id="824" w:name="Tc_t4-ncs5gtUWWPLxN2ewixg_4_4"/>
      <w:bookmarkStart w:id="825" w:name="Tc_Dkerm6YSeUmAwgHU1kZpFQ_4_2"/>
      <w:bookmarkStart w:id="826" w:name="Tc_YgAH34iJYE6iKl3B3LigMQ_3_20"/>
      <w:bookmarkStart w:id="827" w:name="Tc_OW-iIxYoGka1UZv-8e198A_3_18"/>
      <w:bookmarkStart w:id="828" w:name="Tc_I-XYT_1Lr0iqRun4hg49Lg_3_16"/>
      <w:bookmarkStart w:id="829" w:name="Tc_7K6BZ7So2kuKmcvJvysZMA_3_14"/>
      <w:bookmarkStart w:id="830" w:name="Tc_QZi01M9ddUOP3fVl-UblLw_3_12"/>
      <w:bookmarkStart w:id="831" w:name="Tc_Z5seguQTXkyKkfMc-Nm9wQ_3_10"/>
      <w:bookmarkStart w:id="832" w:name="Tc_CjxUJhPpOEiyHZdEE9s-Rw_3_6"/>
      <w:bookmarkStart w:id="833" w:name="Tc_vmW5As0RM0GIBZZFZZaSBQ_3_2"/>
      <w:bookmarkStart w:id="834" w:name="Tc_3yRvlREUdEOmsifGZdbwfA_2_20"/>
      <w:bookmarkStart w:id="835" w:name="Tc_9MasK1llGEq8ZLlEPNFHgA_2_18"/>
      <w:bookmarkStart w:id="836" w:name="Tc_BBFjR8RBB0qvqhm5RIrl9g_2_14"/>
      <w:bookmarkStart w:id="837" w:name="Tc_ep4Mavnyg0WvkXbxGUJsoA_2_10"/>
      <w:bookmarkStart w:id="838" w:name="Tc_b4MjJFFh-E2JCtksorsp1g_1_14"/>
      <w:bookmarkStart w:id="839" w:name="_34bed084_437d_4505_b5cf_3abf6799b216"/>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tbl>
      <w:tblPr>
        <w:tblW w:w="14566" w:type="dxa"/>
        <w:jc w:val="left"/>
        <w:tblInd w:w="0" w:type="dxa"/>
        <w:tblCellMar>
          <w:top w:w="0" w:type="dxa"/>
          <w:left w:w="0" w:type="dxa"/>
          <w:bottom w:w="0" w:type="dxa"/>
          <w:right w:w="0" w:type="dxa"/>
        </w:tblCellMar>
      </w:tblPr>
      <w:tblGrid>
        <w:gridCol w:w="1411"/>
        <w:gridCol w:w="326"/>
        <w:gridCol w:w="1141"/>
        <w:gridCol w:w="326"/>
        <w:gridCol w:w="691"/>
        <w:gridCol w:w="326"/>
        <w:gridCol w:w="1096"/>
        <w:gridCol w:w="326"/>
        <w:gridCol w:w="691"/>
        <w:gridCol w:w="326"/>
        <w:gridCol w:w="1036"/>
        <w:gridCol w:w="326"/>
        <w:gridCol w:w="811"/>
        <w:gridCol w:w="326"/>
        <w:gridCol w:w="1276"/>
        <w:gridCol w:w="326"/>
        <w:gridCol w:w="1096"/>
        <w:gridCol w:w="326"/>
        <w:gridCol w:w="901"/>
        <w:gridCol w:w="326"/>
        <w:gridCol w:w="1156"/>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895985" cy="175260"/>
                      <wp:effectExtent l="0" t="0" r="0" b="0"/>
                      <wp:wrapNone/>
                      <wp:docPr id="332" name="Frame325"/>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3" name="Frame3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24535" cy="175260"/>
                      <wp:effectExtent l="0" t="0" r="0" b="0"/>
                      <wp:wrapNone/>
                      <wp:docPr id="334" name="Frame32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5"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38785" cy="175260"/>
                      <wp:effectExtent l="0" t="0" r="0" b="0"/>
                      <wp:wrapNone/>
                      <wp:docPr id="336" name="Frame32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7"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5960" cy="175260"/>
                      <wp:effectExtent l="0" t="0" r="0" b="0"/>
                      <wp:wrapNone/>
                      <wp:docPr id="338" name="Frame331"/>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9"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38785" cy="175260"/>
                      <wp:effectExtent l="0" t="0" r="0" b="0"/>
                      <wp:wrapNone/>
                      <wp:docPr id="340" name="Frame33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1"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57860" cy="175260"/>
                      <wp:effectExtent l="0" t="0" r="0" b="0"/>
                      <wp:wrapNone/>
                      <wp:docPr id="342" name="Frame33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3"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14985" cy="175260"/>
                      <wp:effectExtent l="0" t="0" r="0" b="0"/>
                      <wp:wrapNone/>
                      <wp:docPr id="344" name="Frame33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5"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810260" cy="175260"/>
                      <wp:effectExtent l="0" t="0" r="0" b="0"/>
                      <wp:wrapNone/>
                      <wp:docPr id="346" name="Frame339"/>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7"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5960" cy="175260"/>
                      <wp:effectExtent l="0" t="0" r="0" b="0"/>
                      <wp:wrapNone/>
                      <wp:docPr id="348" name="Frame341"/>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9"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72135" cy="175260"/>
                      <wp:effectExtent l="0" t="0" r="0" b="0"/>
                      <wp:wrapNone/>
                      <wp:docPr id="350" name="Frame34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1"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34060" cy="175260"/>
                      <wp:effectExtent l="0" t="0" r="0" b="0"/>
                      <wp:wrapNone/>
                      <wp:docPr id="352" name="Frame34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56" w:type="dxa"/>
            <w:tcBorders/>
            <w:shd w:fill="auto" w:val="clear"/>
            <w:vAlign w:val="center"/>
          </w:tcPr>
          <w:p>
            <w:pPr>
              <w:pStyle w:val="TableContents"/>
              <w:spacing w:before="0" w:after="1"/>
              <w:ind w:left="0" w:right="0" w:hanging="0"/>
              <w:jc w:val="center"/>
              <w:rPr/>
            </w:pPr>
            <w:r>
              <w:rPr/>
              <w:t>​</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1"/>
              <w:ind w:left="0" w:right="0" w:hanging="0"/>
              <w:jc w:val="center"/>
              <w:rPr/>
            </w:pPr>
            <w:r>
              <w:rPr/>
              <w:t>​</w:t>
            </w:r>
          </w:p>
        </w:tc>
        <w:tc>
          <w:tcPr>
            <w:tcW w:w="211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as of January 1, 2020</w:t>
            </w:r>
          </w:p>
        </w:tc>
        <w:tc>
          <w:tcPr>
            <w:tcW w:w="326" w:type="dxa"/>
            <w:tcBorders/>
            <w:shd w:fill="CCEEFF" w:val="clear"/>
            <w:vAlign w:val="center"/>
          </w:tcPr>
          <w:p>
            <w:pPr>
              <w:pStyle w:val="TableContents"/>
              <w:spacing w:before="0" w:after="1"/>
              <w:ind w:left="0" w:right="0" w:hanging="0"/>
              <w:jc w:val="center"/>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105,796,976</w:t>
            </w:r>
          </w:p>
        </w:tc>
        <w:tc>
          <w:tcPr>
            <w:tcW w:w="326" w:type="dxa"/>
            <w:tcBorders/>
            <w:shd w:fill="CCEEFF" w:val="clear"/>
            <w:vAlign w:val="center"/>
          </w:tcPr>
          <w:p>
            <w:pPr>
              <w:pStyle w:val="TableContents"/>
              <w:spacing w:before="0" w:after="1"/>
              <w:ind w:left="0" w:right="0" w:hanging="0"/>
              <w:jc w:val="center"/>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26" w:type="dxa"/>
            <w:tcBorders/>
            <w:shd w:fill="CCEEFF" w:val="clear"/>
            <w:vAlign w:val="center"/>
          </w:tcPr>
          <w:p>
            <w:pPr>
              <w:pStyle w:val="TableContents"/>
              <w:spacing w:before="0" w:after="1"/>
              <w:ind w:left="0" w:right="0" w:hanging="0"/>
              <w:jc w:val="center"/>
              <w:rPr/>
            </w:pPr>
            <w:r>
              <w:rPr/>
              <w:t>​</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(3,959,170)</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8,944,586</w:t>
            </w:r>
          </w:p>
        </w:tc>
        <w:tc>
          <w:tcPr>
            <w:tcW w:w="326" w:type="dxa"/>
            <w:tcBorders/>
            <w:shd w:fill="CCEEFF" w:val="clear"/>
            <w:vAlign w:val="center"/>
          </w:tcPr>
          <w:p>
            <w:pPr>
              <w:pStyle w:val="TableContents"/>
              <w:spacing w:before="0" w:after="1"/>
              <w:ind w:left="0" w:right="0" w:hanging="0"/>
              <w:jc w:val="center"/>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7,344</w:t>
            </w:r>
          </w:p>
        </w:tc>
        <w:tc>
          <w:tcPr>
            <w:tcW w:w="326" w:type="dxa"/>
            <w:tcBorders/>
            <w:shd w:fill="CCEEFF" w:val="clear"/>
            <w:vAlign w:val="center"/>
          </w:tcPr>
          <w:p>
            <w:pPr>
              <w:pStyle w:val="TableContents"/>
              <w:spacing w:before="0" w:after="1"/>
              <w:ind w:left="0" w:right="0" w:hanging="0"/>
              <w:jc w:val="center"/>
              <w:rPr/>
            </w:pPr>
            <w:r>
              <w:rPr/>
              <w:t>​</w:t>
            </w:r>
          </w:p>
        </w:tc>
        <w:tc>
          <w:tcPr>
            <w:tcW w:w="12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3,924,911</w:t>
            </w:r>
          </w:p>
        </w:tc>
        <w:tc>
          <w:tcPr>
            <w:tcW w:w="326" w:type="dxa"/>
            <w:tcBorders/>
            <w:shd w:fill="CCEEFF" w:val="clear"/>
            <w:vAlign w:val="center"/>
          </w:tcPr>
          <w:p>
            <w:pPr>
              <w:pStyle w:val="TableContents"/>
              <w:spacing w:before="0" w:after="1"/>
              <w:ind w:left="0" w:right="0" w:hanging="0"/>
              <w:jc w:val="center"/>
              <w:rPr/>
            </w:pPr>
            <w:r>
              <w:rPr/>
              <w:t>​</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(75,742,871)</w:t>
            </w:r>
          </w:p>
        </w:tc>
        <w:tc>
          <w:tcPr>
            <w:tcW w:w="326" w:type="dxa"/>
            <w:tcBorders/>
            <w:shd w:fill="CCEEFF" w:val="clear"/>
            <w:vAlign w:val="center"/>
          </w:tcPr>
          <w:p>
            <w:pPr>
              <w:pStyle w:val="TableContents"/>
              <w:spacing w:before="0" w:after="1"/>
              <w:ind w:left="0" w:right="0" w:hanging="0"/>
              <w:jc w:val="center"/>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176,555</w:t>
            </w:r>
          </w:p>
        </w:tc>
        <w:tc>
          <w:tcPr>
            <w:tcW w:w="326" w:type="dxa"/>
            <w:tcBorders/>
            <w:shd w:fill="CCEEFF" w:val="clear"/>
            <w:vAlign w:val="center"/>
          </w:tcPr>
          <w:p>
            <w:pPr>
              <w:pStyle w:val="TableContents"/>
              <w:spacing w:before="0" w:after="1"/>
              <w:ind w:left="0" w:right="0" w:hanging="0"/>
              <w:jc w:val="center"/>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(62,689,462)</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3,413,292</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3,413,292</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Impact of adoption of credit losses guidance</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(144,651)</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(144,651)</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Issuance of shares to trusts upon exercise of share options</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25,905,827</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(13,379,655)</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2,170,238</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2,170,239</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Settlement for net exercise of share options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(7,635,359)</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(2,184,348)</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(2,184,348)</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Release of shares from trusts</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1,802,889</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pPr>
            <w:r>
              <w:rPr/>
              <w:t>—</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dividends to preferred shareholders upon repurchases of convertible preferred shares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(872)</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Appropriation to statutory reserves</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9,159</w:t>
            </w:r>
          </w:p>
        </w:tc>
        <w:tc>
          <w:tcPr>
            <w:tcW w:w="326" w:type="dxa"/>
            <w:tcBorders/>
            <w:shd w:fill="auto" w:val="clear"/>
            <w:vAlign w:val="center"/>
          </w:tcPr>
          <w:p>
            <w:pPr>
              <w:pStyle w:val="TableContents"/>
              <w:spacing w:before="0" w:after="1"/>
              <w:ind w:left="0" w:right="0" w:hanging="0"/>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(9,159)</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pPr>
            <w:r>
              <w:rPr/>
              <w:t>—</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 of other comprehensive income of equity method investees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(5,926,301)</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(5,926,301)</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(165,047)</w:t>
            </w:r>
          </w:p>
        </w:tc>
        <w:tc>
          <w:tcPr>
            <w:tcW w:w="32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(165,047)</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(10,514,498)</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(93,040)</w:t>
            </w:r>
          </w:p>
        </w:tc>
        <w:tc>
          <w:tcPr>
            <w:tcW w:w="326" w:type="dxa"/>
            <w:tcBorders/>
            <w:shd w:fill="auto" w:val="clear"/>
            <w:vAlign w:val="center"/>
          </w:tcPr>
          <w:p>
            <w:pPr>
              <w:pStyle w:val="TableContents"/>
              <w:spacing w:before="0" w:after="1"/>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(10,607,538)</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2020</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124,067,444</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shd w:fill="CCEEFF" w:val="clear"/>
            <w:vAlign w:val="center"/>
          </w:tcPr>
          <w:p>
            <w:pPr>
              <w:pStyle w:val="TableContents"/>
              <w:spacing w:before="0" w:after="1"/>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(15,535,936)</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12,177,849</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16,503</w:t>
            </w:r>
          </w:p>
        </w:tc>
        <w:tc>
          <w:tcPr>
            <w:tcW w:w="326" w:type="dxa"/>
            <w:tcBorders/>
            <w:shd w:fill="CCEEFF" w:val="clear"/>
            <w:vAlign w:val="center"/>
          </w:tcPr>
          <w:p>
            <w:pPr>
              <w:pStyle w:val="TableContents"/>
              <w:spacing w:before="0" w:after="1"/>
              <w:ind w:left="0" w:right="0" w:hanging="0"/>
              <w:rPr/>
            </w:pPr>
            <w:r>
              <w:rPr/>
              <w:t> </w:t>
            </w:r>
          </w:p>
        </w:tc>
        <w:tc>
          <w:tcPr>
            <w:tcW w:w="12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(2,001,200)</w:t>
            </w:r>
          </w:p>
        </w:tc>
        <w:tc>
          <w:tcPr>
            <w:tcW w:w="326" w:type="dxa"/>
            <w:tcBorders/>
            <w:shd w:fill="CCEEFF" w:val="clear"/>
            <w:vAlign w:val="center"/>
          </w:tcPr>
          <w:p>
            <w:pPr>
              <w:pStyle w:val="TableContents"/>
              <w:spacing w:before="0" w:after="1"/>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(86,411,179)</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83,515</w:t>
            </w:r>
          </w:p>
        </w:tc>
        <w:tc>
          <w:tcPr>
            <w:tcW w:w="326" w:type="dxa"/>
            <w:tcBorders/>
            <w:shd w:fill="CCEEFF" w:val="clear"/>
            <w:vAlign w:val="center"/>
          </w:tcPr>
          <w:p>
            <w:pPr>
              <w:pStyle w:val="TableContents"/>
              <w:spacing w:before="0" w:after="1"/>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(76,134,498)</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CONSOLIDATED STATEMENTS OF SHAREHOLDERS’ EQUITY (DEFICIT)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840" w:name="Tc_NXabYzhz8ESi05E190wPJQ_21_0"/>
      <w:bookmarkStart w:id="841" w:name="Tc_BjzXy9f3hUGatAbMWfw1IA_20_20"/>
      <w:bookmarkStart w:id="842" w:name="Tc_DmCw0JRO-kKvDO2ZGN5EJQ_20_18"/>
      <w:bookmarkStart w:id="843" w:name="Tc_hA0c1EcK4E2cwtdawIJHWQ_20_14"/>
      <w:bookmarkStart w:id="844" w:name="Tc_MA5TFU2tgE-ibLLGOmCahQ_20_10"/>
      <w:bookmarkStart w:id="845" w:name="Tc_HJcBcqhNM0aMZyJrJy-JQg_20_8"/>
      <w:bookmarkStart w:id="846" w:name="Tc_PHHh6xB0WkGLru3QxCF0Kw_20_6"/>
      <w:bookmarkStart w:id="847" w:name="Tc_7VuPeTX7Pkiot8Y8QfPySw_20_4"/>
      <w:bookmarkStart w:id="848" w:name="Tc_5v0dnsGvrkaj2KWNs8ojyQ_20_2"/>
      <w:bookmarkStart w:id="849" w:name="Tc_bVOx2ioCyEyGOppgw-XDBw_20_0"/>
      <w:bookmarkStart w:id="850" w:name="Tc_3ooOESDuwkW3c1Ck0D57AQ_19_14"/>
      <w:bookmarkStart w:id="851" w:name="Tc_Jb2lhE4QhkuBDhZGUFmZuA_19_12"/>
      <w:bookmarkStart w:id="852" w:name="Tc_GaVVAwUIMkqTH_W7L8X_1A_19_10"/>
      <w:bookmarkStart w:id="853" w:name="Tc_kaB9sUMoWkOZHdMjZVhIkw_19_8"/>
      <w:bookmarkStart w:id="854" w:name="Tc_7pHqF-e5E0iK4nQq3WVzVQ_19_6"/>
      <w:bookmarkStart w:id="855" w:name="Tc_ehfLyzeqTkiW0ZzV-GZF8Q_19_4"/>
      <w:bookmarkStart w:id="856" w:name="Tc_fz_K3ybsWEKwJUz-d-gz4Q_19_2"/>
      <w:bookmarkStart w:id="857" w:name="Tc_ScL2S2nu3kyDC8qtdrhRww_19_0"/>
      <w:bookmarkStart w:id="858" w:name="Tc_xkTSZtxUlUm5s-sadqRSUg_18_16"/>
      <w:bookmarkStart w:id="859" w:name="Tc_QZJrnkOP5Emp18SNZV3YWg_18_14"/>
      <w:bookmarkStart w:id="860" w:name="Tc_pEULuooF70uAwT84vYSneg_18_12"/>
      <w:bookmarkStart w:id="861" w:name="Tc_JtE5sfn1G0KOnekLro8gjw_18_10"/>
      <w:bookmarkStart w:id="862" w:name="Tc_gtKCKKYMyUKfNTj43WI7Rw_18_8"/>
      <w:bookmarkStart w:id="863" w:name="Tc_5l2YBo0me0ebhWYkqUvx5Q_18_6"/>
      <w:bookmarkStart w:id="864" w:name="Tc_5bA0SzZZhEWH-0y2uEzavg_18_4"/>
      <w:bookmarkStart w:id="865" w:name="Tc_MPMlCzyCpUOVOcs7qXer-w_18_2"/>
      <w:bookmarkStart w:id="866" w:name="Tc_hcAITWR5gk-FZa5-y_cKpQ_18_0"/>
      <w:bookmarkStart w:id="867" w:name="Tc_FNfh84c2M0OrWtZRrHO77Q_17_18"/>
      <w:bookmarkStart w:id="868" w:name="Tc_5OuOjB2lZEKLxXa5dkE8bA_17_16"/>
      <w:bookmarkStart w:id="869" w:name="Tc_ofefzCM5K0-JRpDt7vQT1Q_17_14"/>
      <w:bookmarkStart w:id="870" w:name="Tc_OKwP2v5FiE2seOJdOH0hUw_17_12"/>
      <w:bookmarkStart w:id="871" w:name="Tc_MId4fYVgGUS-3g2ztehGyg_17_8"/>
      <w:bookmarkStart w:id="872" w:name="Tc_Asw0QPSU4U-fEzy_4DrSCw_17_6"/>
      <w:bookmarkStart w:id="873" w:name="Tc_ZU4UkCX3tE2P7HS6Paazhw_17_4"/>
      <w:bookmarkStart w:id="874" w:name="Tc_AtOc9qugFkikow0NykQFuQ_17_2"/>
      <w:bookmarkStart w:id="875" w:name="Tc_Ef_C4ol40U2bz07kSVgYMA_17_0"/>
      <w:bookmarkStart w:id="876" w:name="Tc_9TkKz9nGJUOQFjg_ASgDGw_16_18"/>
      <w:bookmarkStart w:id="877" w:name="Tc_TpH7CdaX0Eioy-svE5aCSQ_16_16"/>
      <w:bookmarkStart w:id="878" w:name="Tc_OTnrlDJM4UiQbwJIZirTvg_16_12"/>
      <w:bookmarkStart w:id="879" w:name="Tc_vyj6vnMYekKcz2gohVS2Aw_16_10"/>
      <w:bookmarkStart w:id="880" w:name="Tc_jqKnL7HU3E23C2BqRB23OQ_16_8"/>
      <w:bookmarkStart w:id="881" w:name="Tc_kFQzCHvIZUqV-NcAwTRN3Q_16_6"/>
      <w:bookmarkStart w:id="882" w:name="Tc_kYsK5V5h90KJZQoOu1aSng_16_4"/>
      <w:bookmarkStart w:id="883" w:name="Tc_G3cJJFv1XkGXQwxwyB8-Eg_16_2"/>
      <w:bookmarkStart w:id="884" w:name="Tc_VVPthLrh40m_STo0Vw1zcA_16_0"/>
      <w:bookmarkStart w:id="885" w:name="Tc_ShqA4KaHdkOIlSvGVJBnFw_15_18"/>
      <w:bookmarkStart w:id="886" w:name="Tc_IHX-G-aKSE2sCWPmrYRMbQ_15_16"/>
      <w:bookmarkStart w:id="887" w:name="Tc_tmG4ssL-SUOoxY0NcezKJw_15_12"/>
      <w:bookmarkStart w:id="888" w:name="Tc_DdYTfz_7Bk2z3qH6k5nfGg_15_10"/>
      <w:bookmarkStart w:id="889" w:name="Tc_XL-7rv9oNUO6mm8yQ7Zedg_15_8"/>
      <w:bookmarkStart w:id="890" w:name="Tc_mgA-KOM0OUKFb32WuyIwAQ_15_6"/>
      <w:bookmarkStart w:id="891" w:name="Tc_FX_J9iwfEUi77FIBsn5yug_15_4"/>
      <w:bookmarkStart w:id="892" w:name="Tc_VjkML7CCyEyV-JU3gt3rJg_15_2"/>
      <w:bookmarkStart w:id="893" w:name="Tc_pu0HRGxJ_0uW4ysrR4WB_A_15_0"/>
      <w:bookmarkStart w:id="894" w:name="Tc_92XyPSLZ0EqllT6rAOHiTg_14_18"/>
      <w:bookmarkStart w:id="895" w:name="Tc_5li2zxMiTU2aXyXaAZgEYQ_14_16"/>
      <w:bookmarkStart w:id="896" w:name="Tc_MJ9VhmkhT0uSdWHk-xep2g_14_14"/>
      <w:bookmarkStart w:id="897" w:name="Tc_Z49Qv6IseEiiLHaDNf-7nA_14_12"/>
      <w:bookmarkStart w:id="898" w:name="Tc_05aCZO6UiUCWnLN4C-XiXg_14_8"/>
      <w:bookmarkStart w:id="899" w:name="Tc_sZWQ9vq1ZEGwBQWSH2bvmw_14_6"/>
      <w:bookmarkStart w:id="900" w:name="Tc_sqV9mzXjmk2uVhL06u0h3A_14_4"/>
      <w:bookmarkStart w:id="901" w:name="Tc_jdD78bxSTUW91DykfAwntQ_14_0"/>
      <w:bookmarkStart w:id="902" w:name="Tc_otQp7LCC00iTZOlGfZqiCw_13_20"/>
      <w:bookmarkStart w:id="903" w:name="Tc_akipdP5Cqkq5y9GbudTT-Q_13_18"/>
      <w:bookmarkStart w:id="904" w:name="Tc_ISSr1_cKvUKtdAXuiO3SQg_13_16"/>
      <w:bookmarkStart w:id="905" w:name="Tc_uON_SvAPpEaUeceCC5ohwQ_13_14"/>
      <w:bookmarkStart w:id="906" w:name="Tc_Iy6Y140oWUmQat-0rTF-yg_13_12"/>
      <w:bookmarkStart w:id="907" w:name="Tc_lcMlaRMjuEm6b2RH_50I9w_13_4"/>
      <w:bookmarkStart w:id="908" w:name="Tc_ArGALG1zYUi5W2VKBdmLjw_13_2"/>
      <w:bookmarkStart w:id="909" w:name="Tc_lmNXiisqCUaFzPzaKgPOrg_13_0"/>
      <w:bookmarkStart w:id="910" w:name="Tc_RPAlV5dc4UWZVyt-CLwm8Q_12_18"/>
      <w:bookmarkStart w:id="911" w:name="Tc__lUI5ugQFEKQqA1_EfvqeQ_12_16"/>
      <w:bookmarkStart w:id="912" w:name="Tc_00CigEy_dUuiDLZqAb5Kaw_12_14"/>
      <w:bookmarkStart w:id="913" w:name="Tc_TXvraHbu3Ea5dFQA9aTyBw_12_12"/>
      <w:bookmarkStart w:id="914" w:name="Tc_8f0-yFnPvUaw1HSYBlwEtQ_12_8"/>
      <w:bookmarkStart w:id="915" w:name="Tc_9tPl_yWCcEieKM731gD2yw_12_6"/>
      <w:bookmarkStart w:id="916" w:name="Tc_VqQRRVRg2EGrGei-8KzAow_12_0"/>
      <w:bookmarkStart w:id="917" w:name="Tc_SXj5_pjyeEa5DcBB-0aiZQ_11_18"/>
      <w:bookmarkStart w:id="918" w:name="Tc_2xFLdBKrkUCZYlvhpIMG8w_11_16"/>
      <w:bookmarkStart w:id="919" w:name="Tc_U1n0KAvIvUevT_3jphGcvg_11_14"/>
      <w:bookmarkStart w:id="920" w:name="Tc_-Jp3sCc-QkyPe5b1uJLcwg_11_12"/>
      <w:bookmarkStart w:id="921" w:name="Tc_2DEhaVC2mUSSo5aJM9tV3w_11_0"/>
      <w:bookmarkStart w:id="922" w:name="Tc_ytcXUdxfzU6fNeYshso0YA_10_18"/>
      <w:bookmarkStart w:id="923" w:name="Tc_9zZ6hT2MckSenBV4-e7ShQ_10_16"/>
      <w:bookmarkStart w:id="924" w:name="Tc_NbK45DhaiEuJcpZZneX94Q_10_14"/>
      <w:bookmarkStart w:id="925" w:name="Tc_P__jSQOOzkyyJ_OBxVPeQw_10_12"/>
      <w:bookmarkStart w:id="926" w:name="Tc_TC29v0j6g0eVB5u1FrW0cw_10_8"/>
      <w:bookmarkStart w:id="927" w:name="Tc_n60WscHQKkmMXgv1mB94SQ_10_0"/>
      <w:bookmarkStart w:id="928" w:name="Tc_triQ00JG8UeDlV9zf8I2_g_9_18"/>
      <w:bookmarkStart w:id="929" w:name="Tc_eVqfhvGCh0iekTvtkFfXwg_9_16"/>
      <w:bookmarkStart w:id="930" w:name="Tc_Lvvp6q6DFky-EU__-JhgnA_9_14"/>
      <w:bookmarkStart w:id="931" w:name="Tc_BSESiE-j1EyTJPVVFba3yQ_9_12"/>
      <w:bookmarkStart w:id="932" w:name="Tc_XLiNSfmzIUybUIF2KBPVvg_9_8"/>
      <w:bookmarkStart w:id="933" w:name="Tc_S2ULXBla_E6dpq6JDYp73w_9_6"/>
      <w:bookmarkStart w:id="934" w:name="Tc_ytkXVhjlYUaPXIeDmz4zjw_9_0"/>
      <w:bookmarkStart w:id="935" w:name="Tc_2ktDyjh5TU-7ihRLJAEuMQ_8_18"/>
      <w:bookmarkStart w:id="936" w:name="Tc_Kp70Sv4uzEC8JJc1ItUioA_8_16"/>
      <w:bookmarkStart w:id="937" w:name="Tc_UOQri9TdlUioh-Vu0lxrGg_8_14"/>
      <w:bookmarkStart w:id="938" w:name="Tc_PPktJbAr8ky_lGy1EPcvZg_8_12"/>
      <w:bookmarkStart w:id="939" w:name="Tc_A_wZwpErAUaxts8zSpvNQw_8_8"/>
      <w:bookmarkStart w:id="940" w:name="Tc_aEE0U_yle0C863saFjOUJw_8_6"/>
      <w:bookmarkStart w:id="941" w:name="Tc_eq_hHxxvKkOtuBBwWwgBTw_8_4"/>
      <w:bookmarkStart w:id="942" w:name="Tc_JXrlYgRTWU-ecPIRXeAJeg_8_2"/>
      <w:bookmarkStart w:id="943" w:name="Tc_vHRnUS_MKEyAdqiP89S-9w_8_0"/>
      <w:bookmarkStart w:id="944" w:name="Tc_Jsy6pdvLUk6C0u3-gTd9_A_7_18"/>
      <w:bookmarkStart w:id="945" w:name="Tc_f0JsV5fGFU2ZsweYrrX_Gg_7_16"/>
      <w:bookmarkStart w:id="946" w:name="Tc_Yei3U3yq1UC0KOuscjzRVw_7_14"/>
      <w:bookmarkStart w:id="947" w:name="Tc_lHPlZBwphUGd24TtsvAZ2g_7_12"/>
      <w:bookmarkStart w:id="948" w:name="Tc_WSyh_zVlukKvtoX7XEOw0Q_7_8"/>
      <w:bookmarkStart w:id="949" w:name="Tc_Gi2QHfTx70yoGF1etFx_fA_7_6"/>
      <w:bookmarkStart w:id="950" w:name="Tc_LbypSHJpIk20_7eB_Yws6Q_7_4"/>
      <w:bookmarkStart w:id="951" w:name="Tc_AeqMsyZj_E6WESuSkLtDcw_7_2"/>
      <w:bookmarkStart w:id="952" w:name="Tc_x3mL5kOoAUq8a_QQUc0WHQ_7_0"/>
      <w:bookmarkStart w:id="953" w:name="Tc_UIPJqsc0HUSdX6gDzoeVxw_6_0"/>
      <w:bookmarkStart w:id="954" w:name="Tc_soPl57VfHE2MCI9dasj7rg_5_20"/>
      <w:bookmarkStart w:id="955" w:name="Tc_O1iYBuqD20Wn94FA4pYdFQ_5_18"/>
      <w:bookmarkStart w:id="956" w:name="Tc_tsxK6KBrwEa7QVigPaC06Q_5_16"/>
      <w:bookmarkStart w:id="957" w:name="Tc_bcXwPvWjLk2U11vA9H6j4w_5_14"/>
      <w:bookmarkStart w:id="958" w:name="Tc_XY8_wyM3uEaSWzB9zeGfgw_5_12"/>
      <w:bookmarkStart w:id="959" w:name="Tc_8431mjJBr0uUEO5uUFdjnA_5_10"/>
      <w:bookmarkStart w:id="960" w:name="Tc_VI7w1AxdTUuIpojAVwC2xg_5_8"/>
      <w:bookmarkStart w:id="961" w:name="Tc_NqEEyNFl_UebBtf3o3OVoA_5_4"/>
      <w:bookmarkStart w:id="962" w:name="Tc_d3uOi2GxBEeGv812GcYz7A_4_20"/>
      <w:bookmarkStart w:id="963" w:name="Tc_EmMl-vMGjUWMJmvGz8ug6w_4_18"/>
      <w:bookmarkStart w:id="964" w:name="Tc_B2VHRpxCxEazhrugjkUUKQ_4_16"/>
      <w:bookmarkStart w:id="965" w:name="Tc_uGtZlTtlDEyy8RH3bN8e7w_4_14"/>
      <w:bookmarkStart w:id="966" w:name="Tc_MTJX6jTzP0Gd8gkZMj0nSQ_4_12"/>
      <w:bookmarkStart w:id="967" w:name="Tc_4xYyIsmoCEKp1yL4nprBIA_4_10"/>
      <w:bookmarkStart w:id="968" w:name="Tc_kyBcihpAGESSZHNC5UoasA_4_8"/>
      <w:bookmarkStart w:id="969" w:name="Tc_EikUMiFw4Ue2iaNKQ3VYTQ_4_6"/>
      <w:bookmarkStart w:id="970" w:name="Tc_zbEVeREcIEO1riYJpxV8mw_4_4"/>
      <w:bookmarkStart w:id="971" w:name="Tc_W8C8QDrK4UKFx-Z6gcZ5_w_4_2"/>
      <w:bookmarkStart w:id="972" w:name="Tc_S7ktRSE6T0-17Ib3EQAD9g_3_20"/>
      <w:bookmarkStart w:id="973" w:name="Tc_D8jNIYRJJEaPqqe-pu9AuQ_3_18"/>
      <w:bookmarkStart w:id="974" w:name="Tc_8VQ5YTOyNkKtdGaHqD6vOg_3_16"/>
      <w:bookmarkStart w:id="975" w:name="Tc_MFLU1dVts02wXTIVKk9uRg_3_14"/>
      <w:bookmarkStart w:id="976" w:name="Tc_wnyEnoP2hUCXdPHGKpW9Qw_3_12"/>
      <w:bookmarkStart w:id="977" w:name="Tc_osnSlWsZTUSQN3DqnTN3Uw_3_10"/>
      <w:bookmarkStart w:id="978" w:name="Tc_CErkeQ26mUujMO2CUOTY_g_3_6"/>
      <w:bookmarkStart w:id="979" w:name="Tc_DKv6_PJXyUaNLFTO_7S4Yg_3_2"/>
      <w:bookmarkStart w:id="980" w:name="Tc_W6NMAPosdkiudTRRLVTlOw_2_20"/>
      <w:bookmarkStart w:id="981" w:name="Tc_JBkuDtgCtk-xrScEv2Hqmg_2_18"/>
      <w:bookmarkStart w:id="982" w:name="Tc_SJBp7twPOkWsGKMIUdNGUg_2_14"/>
      <w:bookmarkStart w:id="983" w:name="Tc_dN0bv8AivEOlGgAj2Kx4_Q_2_10"/>
      <w:bookmarkStart w:id="984" w:name="Tc_yiPYT4jbaEOQ7fawgDSqFg_2_2"/>
      <w:bookmarkStart w:id="985" w:name="Tc_OQYM_D-YgEaEyXVRSQugVQ_1_14"/>
      <w:bookmarkStart w:id="986" w:name="_0ffbdce9_9dc4_4fa4_81fa_b18454008a20"/>
      <w:bookmarkStart w:id="987" w:name="Tc_NXabYzhz8ESi05E190wPJQ_21_0"/>
      <w:bookmarkStart w:id="988" w:name="Tc_BjzXy9f3hUGatAbMWfw1IA_20_20"/>
      <w:bookmarkStart w:id="989" w:name="Tc_DmCw0JRO-kKvDO2ZGN5EJQ_20_18"/>
      <w:bookmarkStart w:id="990" w:name="Tc_hA0c1EcK4E2cwtdawIJHWQ_20_14"/>
      <w:bookmarkStart w:id="991" w:name="Tc_MA5TFU2tgE-ibLLGOmCahQ_20_10"/>
      <w:bookmarkStart w:id="992" w:name="Tc_HJcBcqhNM0aMZyJrJy-JQg_20_8"/>
      <w:bookmarkStart w:id="993" w:name="Tc_PHHh6xB0WkGLru3QxCF0Kw_20_6"/>
      <w:bookmarkStart w:id="994" w:name="Tc_7VuPeTX7Pkiot8Y8QfPySw_20_4"/>
      <w:bookmarkStart w:id="995" w:name="Tc_5v0dnsGvrkaj2KWNs8ojyQ_20_2"/>
      <w:bookmarkStart w:id="996" w:name="Tc_bVOx2ioCyEyGOppgw-XDBw_20_0"/>
      <w:bookmarkStart w:id="997" w:name="Tc_3ooOESDuwkW3c1Ck0D57AQ_19_14"/>
      <w:bookmarkStart w:id="998" w:name="Tc_Jb2lhE4QhkuBDhZGUFmZuA_19_12"/>
      <w:bookmarkStart w:id="999" w:name="Tc_GaVVAwUIMkqTH_W7L8X_1A_19_10"/>
      <w:bookmarkStart w:id="1000" w:name="Tc_kaB9sUMoWkOZHdMjZVhIkw_19_8"/>
      <w:bookmarkStart w:id="1001" w:name="Tc_7pHqF-e5E0iK4nQq3WVzVQ_19_6"/>
      <w:bookmarkStart w:id="1002" w:name="Tc_ehfLyzeqTkiW0ZzV-GZF8Q_19_4"/>
      <w:bookmarkStart w:id="1003" w:name="Tc_fz_K3ybsWEKwJUz-d-gz4Q_19_2"/>
      <w:bookmarkStart w:id="1004" w:name="Tc_ScL2S2nu3kyDC8qtdrhRww_19_0"/>
      <w:bookmarkStart w:id="1005" w:name="Tc_xkTSZtxUlUm5s-sadqRSUg_18_16"/>
      <w:bookmarkStart w:id="1006" w:name="Tc_QZJrnkOP5Emp18SNZV3YWg_18_14"/>
      <w:bookmarkStart w:id="1007" w:name="Tc_pEULuooF70uAwT84vYSneg_18_12"/>
      <w:bookmarkStart w:id="1008" w:name="Tc_JtE5sfn1G0KOnekLro8gjw_18_10"/>
      <w:bookmarkStart w:id="1009" w:name="Tc_gtKCKKYMyUKfNTj43WI7Rw_18_8"/>
      <w:bookmarkStart w:id="1010" w:name="Tc_5l2YBo0me0ebhWYkqUvx5Q_18_6"/>
      <w:bookmarkStart w:id="1011" w:name="Tc_5bA0SzZZhEWH-0y2uEzavg_18_4"/>
      <w:bookmarkStart w:id="1012" w:name="Tc_MPMlCzyCpUOVOcs7qXer-w_18_2"/>
      <w:bookmarkStart w:id="1013" w:name="Tc_hcAITWR5gk-FZa5-y_cKpQ_18_0"/>
      <w:bookmarkStart w:id="1014" w:name="Tc_FNfh84c2M0OrWtZRrHO77Q_17_18"/>
      <w:bookmarkStart w:id="1015" w:name="Tc_5OuOjB2lZEKLxXa5dkE8bA_17_16"/>
      <w:bookmarkStart w:id="1016" w:name="Tc_ofefzCM5K0-JRpDt7vQT1Q_17_14"/>
      <w:bookmarkStart w:id="1017" w:name="Tc_OKwP2v5FiE2seOJdOH0hUw_17_12"/>
      <w:bookmarkStart w:id="1018" w:name="Tc_MId4fYVgGUS-3g2ztehGyg_17_8"/>
      <w:bookmarkStart w:id="1019" w:name="Tc_Asw0QPSU4U-fEzy_4DrSCw_17_6"/>
      <w:bookmarkStart w:id="1020" w:name="Tc_ZU4UkCX3tE2P7HS6Paazhw_17_4"/>
      <w:bookmarkStart w:id="1021" w:name="Tc_AtOc9qugFkikow0NykQFuQ_17_2"/>
      <w:bookmarkStart w:id="1022" w:name="Tc_Ef_C4ol40U2bz07kSVgYMA_17_0"/>
      <w:bookmarkStart w:id="1023" w:name="Tc_9TkKz9nGJUOQFjg_ASgDGw_16_18"/>
      <w:bookmarkStart w:id="1024" w:name="Tc_TpH7CdaX0Eioy-svE5aCSQ_16_16"/>
      <w:bookmarkStart w:id="1025" w:name="Tc_OTnrlDJM4UiQbwJIZirTvg_16_12"/>
      <w:bookmarkStart w:id="1026" w:name="Tc_vyj6vnMYekKcz2gohVS2Aw_16_10"/>
      <w:bookmarkStart w:id="1027" w:name="Tc_jqKnL7HU3E23C2BqRB23OQ_16_8"/>
      <w:bookmarkStart w:id="1028" w:name="Tc_kFQzCHvIZUqV-NcAwTRN3Q_16_6"/>
      <w:bookmarkStart w:id="1029" w:name="Tc_kYsK5V5h90KJZQoOu1aSng_16_4"/>
      <w:bookmarkStart w:id="1030" w:name="Tc_G3cJJFv1XkGXQwxwyB8-Eg_16_2"/>
      <w:bookmarkStart w:id="1031" w:name="Tc_VVPthLrh40m_STo0Vw1zcA_16_0"/>
      <w:bookmarkStart w:id="1032" w:name="Tc_ShqA4KaHdkOIlSvGVJBnFw_15_18"/>
      <w:bookmarkStart w:id="1033" w:name="Tc_IHX-G-aKSE2sCWPmrYRMbQ_15_16"/>
      <w:bookmarkStart w:id="1034" w:name="Tc_tmG4ssL-SUOoxY0NcezKJw_15_12"/>
      <w:bookmarkStart w:id="1035" w:name="Tc_DdYTfz_7Bk2z3qH6k5nfGg_15_10"/>
      <w:bookmarkStart w:id="1036" w:name="Tc_XL-7rv9oNUO6mm8yQ7Zedg_15_8"/>
      <w:bookmarkStart w:id="1037" w:name="Tc_mgA-KOM0OUKFb32WuyIwAQ_15_6"/>
      <w:bookmarkStart w:id="1038" w:name="Tc_FX_J9iwfEUi77FIBsn5yug_15_4"/>
      <w:bookmarkStart w:id="1039" w:name="Tc_VjkML7CCyEyV-JU3gt3rJg_15_2"/>
      <w:bookmarkStart w:id="1040" w:name="Tc_pu0HRGxJ_0uW4ysrR4WB_A_15_0"/>
      <w:bookmarkStart w:id="1041" w:name="Tc_92XyPSLZ0EqllT6rAOHiTg_14_18"/>
      <w:bookmarkStart w:id="1042" w:name="Tc_5li2zxMiTU2aXyXaAZgEYQ_14_16"/>
      <w:bookmarkStart w:id="1043" w:name="Tc_MJ9VhmkhT0uSdWHk-xep2g_14_14"/>
      <w:bookmarkStart w:id="1044" w:name="Tc_Z49Qv6IseEiiLHaDNf-7nA_14_12"/>
      <w:bookmarkStart w:id="1045" w:name="Tc_05aCZO6UiUCWnLN4C-XiXg_14_8"/>
      <w:bookmarkStart w:id="1046" w:name="Tc_sZWQ9vq1ZEGwBQWSH2bvmw_14_6"/>
      <w:bookmarkStart w:id="1047" w:name="Tc_sqV9mzXjmk2uVhL06u0h3A_14_4"/>
      <w:bookmarkStart w:id="1048" w:name="Tc_jdD78bxSTUW91DykfAwntQ_14_0"/>
      <w:bookmarkStart w:id="1049" w:name="Tc_otQp7LCC00iTZOlGfZqiCw_13_20"/>
      <w:bookmarkStart w:id="1050" w:name="Tc_akipdP5Cqkq5y9GbudTT-Q_13_18"/>
      <w:bookmarkStart w:id="1051" w:name="Tc_ISSr1_cKvUKtdAXuiO3SQg_13_16"/>
      <w:bookmarkStart w:id="1052" w:name="Tc_uON_SvAPpEaUeceCC5ohwQ_13_14"/>
      <w:bookmarkStart w:id="1053" w:name="Tc_Iy6Y140oWUmQat-0rTF-yg_13_12"/>
      <w:bookmarkStart w:id="1054" w:name="Tc_lcMlaRMjuEm6b2RH_50I9w_13_4"/>
      <w:bookmarkStart w:id="1055" w:name="Tc_ArGALG1zYUi5W2VKBdmLjw_13_2"/>
      <w:bookmarkStart w:id="1056" w:name="Tc_lmNXiisqCUaFzPzaKgPOrg_13_0"/>
      <w:bookmarkStart w:id="1057" w:name="Tc_RPAlV5dc4UWZVyt-CLwm8Q_12_18"/>
      <w:bookmarkStart w:id="1058" w:name="Tc__lUI5ugQFEKQqA1_EfvqeQ_12_16"/>
      <w:bookmarkStart w:id="1059" w:name="Tc_00CigEy_dUuiDLZqAb5Kaw_12_14"/>
      <w:bookmarkStart w:id="1060" w:name="Tc_TXvraHbu3Ea5dFQA9aTyBw_12_12"/>
      <w:bookmarkStart w:id="1061" w:name="Tc_8f0-yFnPvUaw1HSYBlwEtQ_12_8"/>
      <w:bookmarkStart w:id="1062" w:name="Tc_9tPl_yWCcEieKM731gD2yw_12_6"/>
      <w:bookmarkStart w:id="1063" w:name="Tc_VqQRRVRg2EGrGei-8KzAow_12_0"/>
      <w:bookmarkStart w:id="1064" w:name="Tc_SXj5_pjyeEa5DcBB-0aiZQ_11_18"/>
      <w:bookmarkStart w:id="1065" w:name="Tc_2xFLdBKrkUCZYlvhpIMG8w_11_16"/>
      <w:bookmarkStart w:id="1066" w:name="Tc_U1n0KAvIvUevT_3jphGcvg_11_14"/>
      <w:bookmarkStart w:id="1067" w:name="Tc_-Jp3sCc-QkyPe5b1uJLcwg_11_12"/>
      <w:bookmarkStart w:id="1068" w:name="Tc_2DEhaVC2mUSSo5aJM9tV3w_11_0"/>
      <w:bookmarkStart w:id="1069" w:name="Tc_ytcXUdxfzU6fNeYshso0YA_10_18"/>
      <w:bookmarkStart w:id="1070" w:name="Tc_9zZ6hT2MckSenBV4-e7ShQ_10_16"/>
      <w:bookmarkStart w:id="1071" w:name="Tc_NbK45DhaiEuJcpZZneX94Q_10_14"/>
      <w:bookmarkStart w:id="1072" w:name="Tc_P__jSQOOzkyyJ_OBxVPeQw_10_12"/>
      <w:bookmarkStart w:id="1073" w:name="Tc_TC29v0j6g0eVB5u1FrW0cw_10_8"/>
      <w:bookmarkStart w:id="1074" w:name="Tc_n60WscHQKkmMXgv1mB94SQ_10_0"/>
      <w:bookmarkStart w:id="1075" w:name="Tc_triQ00JG8UeDlV9zf8I2_g_9_18"/>
      <w:bookmarkStart w:id="1076" w:name="Tc_eVqfhvGCh0iekTvtkFfXwg_9_16"/>
      <w:bookmarkStart w:id="1077" w:name="Tc_Lvvp6q6DFky-EU__-JhgnA_9_14"/>
      <w:bookmarkStart w:id="1078" w:name="Tc_BSESiE-j1EyTJPVVFba3yQ_9_12"/>
      <w:bookmarkStart w:id="1079" w:name="Tc_XLiNSfmzIUybUIF2KBPVvg_9_8"/>
      <w:bookmarkStart w:id="1080" w:name="Tc_S2ULXBla_E6dpq6JDYp73w_9_6"/>
      <w:bookmarkStart w:id="1081" w:name="Tc_ytkXVhjlYUaPXIeDmz4zjw_9_0"/>
      <w:bookmarkStart w:id="1082" w:name="Tc_2ktDyjh5TU-7ihRLJAEuMQ_8_18"/>
      <w:bookmarkStart w:id="1083" w:name="Tc_Kp70Sv4uzEC8JJc1ItUioA_8_16"/>
      <w:bookmarkStart w:id="1084" w:name="Tc_UOQri9TdlUioh-Vu0lxrGg_8_14"/>
      <w:bookmarkStart w:id="1085" w:name="Tc_PPktJbAr8ky_lGy1EPcvZg_8_12"/>
      <w:bookmarkStart w:id="1086" w:name="Tc_A_wZwpErAUaxts8zSpvNQw_8_8"/>
      <w:bookmarkStart w:id="1087" w:name="Tc_aEE0U_yle0C863saFjOUJw_8_6"/>
      <w:bookmarkStart w:id="1088" w:name="Tc_eq_hHxxvKkOtuBBwWwgBTw_8_4"/>
      <w:bookmarkStart w:id="1089" w:name="Tc_JXrlYgRTWU-ecPIRXeAJeg_8_2"/>
      <w:bookmarkStart w:id="1090" w:name="Tc_vHRnUS_MKEyAdqiP89S-9w_8_0"/>
      <w:bookmarkStart w:id="1091" w:name="Tc_Jsy6pdvLUk6C0u3-gTd9_A_7_18"/>
      <w:bookmarkStart w:id="1092" w:name="Tc_f0JsV5fGFU2ZsweYrrX_Gg_7_16"/>
      <w:bookmarkStart w:id="1093" w:name="Tc_Yei3U3yq1UC0KOuscjzRVw_7_14"/>
      <w:bookmarkStart w:id="1094" w:name="Tc_lHPlZBwphUGd24TtsvAZ2g_7_12"/>
      <w:bookmarkStart w:id="1095" w:name="Tc_WSyh_zVlukKvtoX7XEOw0Q_7_8"/>
      <w:bookmarkStart w:id="1096" w:name="Tc_Gi2QHfTx70yoGF1etFx_fA_7_6"/>
      <w:bookmarkStart w:id="1097" w:name="Tc_LbypSHJpIk20_7eB_Yws6Q_7_4"/>
      <w:bookmarkStart w:id="1098" w:name="Tc_AeqMsyZj_E6WESuSkLtDcw_7_2"/>
      <w:bookmarkStart w:id="1099" w:name="Tc_x3mL5kOoAUq8a_QQUc0WHQ_7_0"/>
      <w:bookmarkStart w:id="1100" w:name="Tc_UIPJqsc0HUSdX6gDzoeVxw_6_0"/>
      <w:bookmarkStart w:id="1101" w:name="Tc_soPl57VfHE2MCI9dasj7rg_5_20"/>
      <w:bookmarkStart w:id="1102" w:name="Tc_O1iYBuqD20Wn94FA4pYdFQ_5_18"/>
      <w:bookmarkStart w:id="1103" w:name="Tc_tsxK6KBrwEa7QVigPaC06Q_5_16"/>
      <w:bookmarkStart w:id="1104" w:name="Tc_bcXwPvWjLk2U11vA9H6j4w_5_14"/>
      <w:bookmarkStart w:id="1105" w:name="Tc_XY8_wyM3uEaSWzB9zeGfgw_5_12"/>
      <w:bookmarkStart w:id="1106" w:name="Tc_8431mjJBr0uUEO5uUFdjnA_5_10"/>
      <w:bookmarkStart w:id="1107" w:name="Tc_VI7w1AxdTUuIpojAVwC2xg_5_8"/>
      <w:bookmarkStart w:id="1108" w:name="Tc_NqEEyNFl_UebBtf3o3OVoA_5_4"/>
      <w:bookmarkStart w:id="1109" w:name="Tc_d3uOi2GxBEeGv812GcYz7A_4_20"/>
      <w:bookmarkStart w:id="1110" w:name="Tc_EmMl-vMGjUWMJmvGz8ug6w_4_18"/>
      <w:bookmarkStart w:id="1111" w:name="Tc_B2VHRpxCxEazhrugjkUUKQ_4_16"/>
      <w:bookmarkStart w:id="1112" w:name="Tc_uGtZlTtlDEyy8RH3bN8e7w_4_14"/>
      <w:bookmarkStart w:id="1113" w:name="Tc_MTJX6jTzP0Gd8gkZMj0nSQ_4_12"/>
      <w:bookmarkStart w:id="1114" w:name="Tc_4xYyIsmoCEKp1yL4nprBIA_4_10"/>
      <w:bookmarkStart w:id="1115" w:name="Tc_kyBcihpAGESSZHNC5UoasA_4_8"/>
      <w:bookmarkStart w:id="1116" w:name="Tc_EikUMiFw4Ue2iaNKQ3VYTQ_4_6"/>
      <w:bookmarkStart w:id="1117" w:name="Tc_zbEVeREcIEO1riYJpxV8mw_4_4"/>
      <w:bookmarkStart w:id="1118" w:name="Tc_W8C8QDrK4UKFx-Z6gcZ5_w_4_2"/>
      <w:bookmarkStart w:id="1119" w:name="Tc_S7ktRSE6T0-17Ib3EQAD9g_3_20"/>
      <w:bookmarkStart w:id="1120" w:name="Tc_D8jNIYRJJEaPqqe-pu9AuQ_3_18"/>
      <w:bookmarkStart w:id="1121" w:name="Tc_8VQ5YTOyNkKtdGaHqD6vOg_3_16"/>
      <w:bookmarkStart w:id="1122" w:name="Tc_MFLU1dVts02wXTIVKk9uRg_3_14"/>
      <w:bookmarkStart w:id="1123" w:name="Tc_wnyEnoP2hUCXdPHGKpW9Qw_3_12"/>
      <w:bookmarkStart w:id="1124" w:name="Tc_osnSlWsZTUSQN3DqnTN3Uw_3_10"/>
      <w:bookmarkStart w:id="1125" w:name="Tc_CErkeQ26mUujMO2CUOTY_g_3_6"/>
      <w:bookmarkStart w:id="1126" w:name="Tc_DKv6_PJXyUaNLFTO_7S4Yg_3_2"/>
      <w:bookmarkStart w:id="1127" w:name="Tc_W6NMAPosdkiudTRRLVTlOw_2_20"/>
      <w:bookmarkStart w:id="1128" w:name="Tc_JBkuDtgCtk-xrScEv2Hqmg_2_18"/>
      <w:bookmarkStart w:id="1129" w:name="Tc_SJBp7twPOkWsGKMIUdNGUg_2_14"/>
      <w:bookmarkStart w:id="1130" w:name="Tc_dN0bv8AivEOlGgAj2Kx4_Q_2_10"/>
      <w:bookmarkStart w:id="1131" w:name="Tc_yiPYT4jbaEOQ7fawgDSqFg_2_2"/>
      <w:bookmarkStart w:id="1132" w:name="Tc_OQYM_D-YgEaEyXVRSQugVQ_1_14"/>
      <w:bookmarkStart w:id="1133" w:name="_0ffbdce9_9dc4_4fa4_81fa_b18454008a20"/>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tbl>
      <w:tblPr>
        <w:tblW w:w="15016" w:type="dxa"/>
        <w:jc w:val="left"/>
        <w:tblInd w:w="0" w:type="dxa"/>
        <w:tblCellMar>
          <w:top w:w="0" w:type="dxa"/>
          <w:left w:w="0" w:type="dxa"/>
          <w:bottom w:w="0" w:type="dxa"/>
          <w:right w:w="0" w:type="dxa"/>
        </w:tblCellMar>
      </w:tblPr>
      <w:tblGrid>
        <w:gridCol w:w="1411"/>
        <w:gridCol w:w="326"/>
        <w:gridCol w:w="1291"/>
        <w:gridCol w:w="326"/>
        <w:gridCol w:w="691"/>
        <w:gridCol w:w="326"/>
        <w:gridCol w:w="1096"/>
        <w:gridCol w:w="326"/>
        <w:gridCol w:w="691"/>
        <w:gridCol w:w="326"/>
        <w:gridCol w:w="1141"/>
        <w:gridCol w:w="326"/>
        <w:gridCol w:w="811"/>
        <w:gridCol w:w="326"/>
        <w:gridCol w:w="1276"/>
        <w:gridCol w:w="326"/>
        <w:gridCol w:w="1201"/>
        <w:gridCol w:w="326"/>
        <w:gridCol w:w="901"/>
        <w:gridCol w:w="326"/>
        <w:gridCol w:w="1246"/>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895985" cy="175260"/>
                      <wp:effectExtent l="0" t="0" r="0" b="0"/>
                      <wp:wrapNone/>
                      <wp:docPr id="353" name="Frame346"/>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4"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819785" cy="175260"/>
                      <wp:effectExtent l="0" t="0" r="0" b="0"/>
                      <wp:wrapNone/>
                      <wp:docPr id="355" name="Frame348"/>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6" name="Frame3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8785" cy="175260"/>
                      <wp:effectExtent l="0" t="0" r="0" b="0"/>
                      <wp:wrapNone/>
                      <wp:docPr id="357" name="Frame3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8" name="Frame3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5960" cy="175260"/>
                      <wp:effectExtent l="0" t="0" r="0" b="0"/>
                      <wp:wrapNone/>
                      <wp:docPr id="359" name="Frame35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0"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38785" cy="175260"/>
                      <wp:effectExtent l="0" t="0" r="0" b="0"/>
                      <wp:wrapNone/>
                      <wp:docPr id="361" name="Frame35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2"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24535" cy="175260"/>
                      <wp:effectExtent l="0" t="0" r="0" b="0"/>
                      <wp:wrapNone/>
                      <wp:docPr id="363" name="Frame35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4"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14985" cy="175260"/>
                      <wp:effectExtent l="0" t="0" r="0" b="0"/>
                      <wp:wrapNone/>
                      <wp:docPr id="365" name="Frame35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6" name="Frame3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10260" cy="175260"/>
                      <wp:effectExtent l="0" t="0" r="0" b="0"/>
                      <wp:wrapNone/>
                      <wp:docPr id="367" name="Frame360"/>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68"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62635" cy="175260"/>
                      <wp:effectExtent l="0" t="0" r="0" b="0"/>
                      <wp:wrapNone/>
                      <wp:docPr id="369" name="Frame362"/>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0"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72135" cy="175260"/>
                      <wp:effectExtent l="0" t="0" r="0" b="0"/>
                      <wp:wrapNone/>
                      <wp:docPr id="371" name="Frame36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2"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91210" cy="175260"/>
                      <wp:effectExtent l="0" t="0" r="0" b="0"/>
                      <wp:wrapNone/>
                      <wp:docPr id="373" name="Frame366"/>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shd w:fill="auto" w:val="clear"/>
            <w:vAlign w:val="center"/>
          </w:tcPr>
          <w:p>
            <w:pPr>
              <w:pStyle w:val="TableContents"/>
              <w:spacing w:before="0" w:after="0"/>
              <w:ind w:left="0" w:right="0" w:hanging="0"/>
              <w:jc w:val="center"/>
              <w:rPr/>
            </w:pPr>
            <w:r>
              <w:rPr/>
              <w:t>​</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0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and Class B</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shd w:fill="auto" w:val="clear"/>
            <w:vAlign w:val="center"/>
          </w:tcPr>
          <w:p>
            <w:pPr>
              <w:pStyle w:val="TableContents"/>
              <w:spacing w:before="0" w:after="0"/>
              <w:ind w:left="0" w:right="0" w:hanging="0"/>
              <w:jc w:val="center"/>
              <w:rPr/>
            </w:pPr>
            <w:r>
              <w:rPr/>
              <w:t>​</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0"/>
              <w:ind w:left="0" w:right="0" w:hanging="0"/>
              <w:jc w:val="center"/>
              <w:rPr/>
            </w:pPr>
            <w:r>
              <w:rPr/>
              <w:t>​</w:t>
            </w:r>
          </w:p>
        </w:tc>
        <w:tc>
          <w:tcPr>
            <w:tcW w:w="21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shd w:fill="auto" w:val="clear"/>
            <w:vAlign w:val="center"/>
          </w:tcPr>
          <w:p>
            <w:pPr>
              <w:pStyle w:val="TableContents"/>
              <w:spacing w:before="0" w:after="0"/>
              <w:ind w:left="0" w:right="0" w:hanging="0"/>
              <w:jc w:val="center"/>
              <w:rPr/>
            </w:pPr>
            <w:r>
              <w:rPr/>
              <w:t>​</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January 1, 2021</w:t>
            </w:r>
          </w:p>
        </w:tc>
        <w:tc>
          <w:tcPr>
            <w:tcW w:w="326" w:type="dxa"/>
            <w:tcBorders/>
            <w:shd w:fill="CCEEFF" w:val="clear"/>
            <w:vAlign w:val="center"/>
          </w:tcPr>
          <w:p>
            <w:pPr>
              <w:pStyle w:val="TableContents"/>
              <w:spacing w:before="0" w:after="0"/>
              <w:ind w:left="0" w:right="0" w:hanging="0"/>
              <w:jc w:val="center"/>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124,067,444</w:t>
            </w:r>
          </w:p>
        </w:tc>
        <w:tc>
          <w:tcPr>
            <w:tcW w:w="326" w:type="dxa"/>
            <w:tcBorders/>
            <w:shd w:fill="CCEEFF" w:val="clear"/>
            <w:vAlign w:val="center"/>
          </w:tcPr>
          <w:p>
            <w:pPr>
              <w:pStyle w:val="TableContents"/>
              <w:spacing w:before="0" w:after="0"/>
              <w:ind w:left="0" w:right="0" w:hanging="0"/>
              <w:jc w:val="center"/>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(15,535,936)</w:t>
            </w:r>
          </w:p>
        </w:tc>
        <w:tc>
          <w:tcPr>
            <w:tcW w:w="326" w:type="dxa"/>
            <w:tcBorders/>
            <w:shd w:fill="CCEEFF" w:val="clear"/>
            <w:vAlign w:val="center"/>
          </w:tcPr>
          <w:p>
            <w:pPr>
              <w:pStyle w:val="TableContents"/>
              <w:spacing w:before="0" w:after="0"/>
              <w:ind w:left="0" w:right="0" w:hanging="0"/>
              <w:jc w:val="center"/>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12,177,849</w:t>
            </w:r>
          </w:p>
        </w:tc>
        <w:tc>
          <w:tcPr>
            <w:tcW w:w="326" w:type="dxa"/>
            <w:tcBorders/>
            <w:shd w:fill="CCEEFF" w:val="clear"/>
            <w:vAlign w:val="center"/>
          </w:tcPr>
          <w:p>
            <w:pPr>
              <w:pStyle w:val="TableContents"/>
              <w:spacing w:before="0" w:after="0"/>
              <w:ind w:left="0" w:right="0" w:hanging="0"/>
              <w:jc w:val="center"/>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16,503</w:t>
            </w:r>
          </w:p>
        </w:tc>
        <w:tc>
          <w:tcPr>
            <w:tcW w:w="326" w:type="dxa"/>
            <w:tcBorders/>
            <w:shd w:fill="CCEEFF" w:val="clear"/>
            <w:vAlign w:val="center"/>
          </w:tcPr>
          <w:p>
            <w:pPr>
              <w:pStyle w:val="TableContents"/>
              <w:spacing w:before="0" w:after="0"/>
              <w:ind w:left="0" w:right="0" w:hanging="0"/>
              <w:jc w:val="center"/>
              <w:rPr/>
            </w:pPr>
            <w:r>
              <w:rPr/>
              <w:t>​</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(2,001,200)</w:t>
            </w:r>
          </w:p>
        </w:tc>
        <w:tc>
          <w:tcPr>
            <w:tcW w:w="326" w:type="dxa"/>
            <w:tcBorders/>
            <w:shd w:fill="CCEEFF" w:val="clear"/>
            <w:vAlign w:val="center"/>
          </w:tcPr>
          <w:p>
            <w:pPr>
              <w:pStyle w:val="TableContents"/>
              <w:spacing w:before="0" w:after="0"/>
              <w:ind w:left="0" w:right="0" w:hanging="0"/>
              <w:jc w:val="center"/>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(86,411,179)</w:t>
            </w:r>
          </w:p>
        </w:tc>
        <w:tc>
          <w:tcPr>
            <w:tcW w:w="326" w:type="dxa"/>
            <w:tcBorders/>
            <w:shd w:fill="CCEEFF" w:val="clear"/>
            <w:vAlign w:val="center"/>
          </w:tcPr>
          <w:p>
            <w:pPr>
              <w:pStyle w:val="TableContents"/>
              <w:spacing w:before="0" w:after="0"/>
              <w:ind w:left="0" w:right="0" w:hanging="0"/>
              <w:jc w:val="center"/>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83,515</w:t>
            </w:r>
          </w:p>
        </w:tc>
        <w:tc>
          <w:tcPr>
            <w:tcW w:w="326" w:type="dxa"/>
            <w:tcBorders/>
            <w:shd w:fill="CCEEFF" w:val="clear"/>
            <w:vAlign w:val="center"/>
          </w:tcPr>
          <w:p>
            <w:pPr>
              <w:pStyle w:val="TableContents"/>
              <w:spacing w:before="0" w:after="0"/>
              <w:ind w:left="0" w:right="0" w:hanging="0"/>
              <w:jc w:val="center"/>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(76,134,498)</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24,654,583</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24,654,583</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awards granted to employees of an equity investee</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178,506</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178,506</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ordinary shares in connection with initial public offering, net of issuance cost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79,200,000</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28,033,096</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28,033,106</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Conversion of convertible preferred shares to ordinary shares in connection with initial public offering</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933,349,567</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(42,057)</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189,838,858</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189,838,979</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shares to trusts upon exercise of share options</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78,257,584</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(68,616,887)</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Settlement for net exercise of share options</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(8,324,699)</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(2,591,520)</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(2,591,521)</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Release of shares from trusts</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60,976,302</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(697,470)</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(219,003)</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(219,003)</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 of other comprehensive loss of equity method investees</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(4,811)</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(1,593,734)</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(1,593,734)</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(687,617)</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Repurchase of non-controlling interests</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(20,000)</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(49,343,664)</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9,086</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(49,334,578)</w:t>
            </w:r>
          </w:p>
        </w:tc>
      </w:tr>
      <w:tr>
        <w:trPr/>
        <w:tc>
          <w:tcPr>
            <w:tcW w:w="1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Appropriation to statutory reserves</w:t>
            </w:r>
          </w:p>
        </w:tc>
        <w:tc>
          <w:tcPr>
            <w:tcW w:w="326" w:type="dxa"/>
            <w:tcBorders/>
            <w:shd w:fill="CCEEFF" w:val="clear"/>
            <w:vAlign w:val="center"/>
          </w:tcPr>
          <w:p>
            <w:pPr>
              <w:pStyle w:val="TableContents"/>
              <w:spacing w:before="0" w:after="0"/>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11,414</w:t>
            </w:r>
          </w:p>
        </w:tc>
        <w:tc>
          <w:tcPr>
            <w:tcW w:w="326" w:type="dxa"/>
            <w:tcBorders/>
            <w:shd w:fill="CCEEFF" w:val="clear"/>
            <w:vAlign w:val="center"/>
          </w:tcPr>
          <w:p>
            <w:pPr>
              <w:pStyle w:val="TableContents"/>
              <w:spacing w:before="0" w:after="0"/>
              <w:ind w:left="0" w:right="0" w:hanging="0"/>
              <w:rPr/>
            </w:pPr>
            <w:r>
              <w:rPr/>
              <w:t>​</w:t>
            </w:r>
          </w:p>
        </w:tc>
        <w:tc>
          <w:tcPr>
            <w:tcW w:w="12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(11,414)</w:t>
            </w:r>
          </w:p>
        </w:tc>
        <w:tc>
          <w:tcPr>
            <w:tcW w:w="326" w:type="dxa"/>
            <w:tcBorders/>
            <w:shd w:fill="CCEEFF" w:val="cle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41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auto" w:val="clear"/>
            <w:vAlign w:val="center"/>
          </w:tcPr>
          <w:p>
            <w:pPr>
              <w:pStyle w:val="TableContents"/>
              <w:spacing w:before="0" w:after="0"/>
              <w:ind w:left="0" w:right="0" w:hanging="0"/>
              <w:rPr/>
            </w:pPr>
            <w:r>
              <w:rPr/>
              <w:t>​</w:t>
            </w:r>
          </w:p>
        </w:tc>
        <w:tc>
          <w:tcPr>
            <w:tcW w:w="12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1,205,852,426</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(23,218,578)</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251,384,835</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27,917</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(3,599,745)</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(135,766,257)</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72,601</w:t>
            </w:r>
          </w:p>
        </w:tc>
        <w:tc>
          <w:tcPr>
            <w:tcW w:w="326" w:type="dxa"/>
            <w:tcBorders/>
            <w:shd w:fill="auto" w:val="clear"/>
            <w:vAlign w:val="center"/>
          </w:tcPr>
          <w:p>
            <w:pPr>
              <w:pStyle w:val="TableContents"/>
              <w:spacing w:before="0" w:after="0"/>
              <w:ind w:left="0" w:right="0" w:hanging="0"/>
              <w:rPr/>
            </w:pPr>
            <w:r>
              <w:rPr/>
              <w:t> </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112,119,504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CONSOLIDATED STATEMENTS OF SHAREHOLDERS’ EQUITY (DEFICIT) (Continued)</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1134" w:name="Tc_8yWaDjRVAkGURjuPLuDa5Q_22_0"/>
      <w:bookmarkStart w:id="1135" w:name="Tc_ACk9HenCO0q7vJVuxhL89w_21_0"/>
      <w:bookmarkStart w:id="1136" w:name="Tc_hFaubAUHUkm75P5rids-LQ_20_14"/>
      <w:bookmarkStart w:id="1137" w:name="Tc_fcXDDSmzNkCKor_X88fz6g_20_12"/>
      <w:bookmarkStart w:id="1138" w:name="Tc__DZhAdag9USOB9jGbQophg_20_10"/>
      <w:bookmarkStart w:id="1139" w:name="Tc_-8x4dNMmHEuhnstqOx2ImQ_20_8"/>
      <w:bookmarkStart w:id="1140" w:name="Tc_KzXU_Y_Y0EOzYqfxCTjgLA_20_6"/>
      <w:bookmarkStart w:id="1141" w:name="Tc_x_ata9HBsUGkGgZMNgaUQQ_20_4"/>
      <w:bookmarkStart w:id="1142" w:name="Tc_YJt_b4QdgUCgcQTS_SVM8Q_20_2"/>
      <w:bookmarkStart w:id="1143" w:name="Tc_1znXuYM0WUGvZvgRPmWwgg_20_0"/>
      <w:bookmarkStart w:id="1144" w:name="Tc_r8taPeSUpkKdd3eyEYp13A_19_20"/>
      <w:bookmarkStart w:id="1145" w:name="Tc_XQ3nAQINCEGbfI1BPipZzA_19_18"/>
      <w:bookmarkStart w:id="1146" w:name="Tc_MroJqx2_yEGJl-ia8qsCbQ_19_14"/>
      <w:bookmarkStart w:id="1147" w:name="Tc_P_8cP-iwhE6SbUfHE9t71Q_19_10"/>
      <w:bookmarkStart w:id="1148" w:name="Tc_qtO_dI6dGky7Qcbjx9RwRA_19_8"/>
      <w:bookmarkStart w:id="1149" w:name="Tc_3K0lLJbn8k-rtxLG_q9-9Q_19_6"/>
      <w:bookmarkStart w:id="1150" w:name="Tc_59aJCNv01ky8FdITqsiI0w_19_4"/>
      <w:bookmarkStart w:id="1151" w:name="Tc_m2zYI7X3Ok2p_tM6QmHz9Q_19_2"/>
      <w:bookmarkStart w:id="1152" w:name="Tc_K_uSXqInU0WKuGpZ7KgDkQ_19_0"/>
      <w:bookmarkStart w:id="1153" w:name="Tc_uxogRGUfpkW1k2tYhkTZvQ_18_16"/>
      <w:bookmarkStart w:id="1154" w:name="Tc_C3ZMdQnQvE2Y1ApC5G18GQ_18_14"/>
      <w:bookmarkStart w:id="1155" w:name="Tc_gl9IujNeCU6UZIJ3CdmAGg_18_12"/>
      <w:bookmarkStart w:id="1156" w:name="Tc_w9LIL6zAJUm4hXtaHiEqcQ_18_8"/>
      <w:bookmarkStart w:id="1157" w:name="Tc_ljAP80Arq0WOZULSbuN2AA_18_6"/>
      <w:bookmarkStart w:id="1158" w:name="Tc_GLXXHWTmp0SFf_uv1G1aRg_18_4"/>
      <w:bookmarkStart w:id="1159" w:name="Tc_1DQTeq-ewkKwtzOrpHGeHg_18_2"/>
      <w:bookmarkStart w:id="1160" w:name="Tc_c9ConuqJHU6Mq7VQfJHjPw_18_0"/>
      <w:bookmarkStart w:id="1161" w:name="Tc_npwnrflP3EW_kib5BFI7rQ_17_18"/>
      <w:bookmarkStart w:id="1162" w:name="Tc_FML5HQxMSkeUNWCVagIwtw_17_16"/>
      <w:bookmarkStart w:id="1163" w:name="Tc_fXCZQ1W6T0OA1zFHybZiTw_17_14"/>
      <w:bookmarkStart w:id="1164" w:name="Tc_P_5u_dLzdkWl6pD3Krz3mw_17_12"/>
      <w:bookmarkStart w:id="1165" w:name="Tc_Y_xByCU160aLcbeg6nJzWA_17_8"/>
      <w:bookmarkStart w:id="1166" w:name="Tc_3UkChb1TrEuPZC3-bdSk4Q_17_6"/>
      <w:bookmarkStart w:id="1167" w:name="Tc_EVQRNfHXcEW-upII0FMgCg_17_4"/>
      <w:bookmarkStart w:id="1168" w:name="Tc_YsVW8oZAMESjfJkdxlanIg_17_2"/>
      <w:bookmarkStart w:id="1169" w:name="Tc_VbVH-a4jc0usCvTV8G5OeQ_17_0"/>
      <w:bookmarkStart w:id="1170" w:name="Tc__r7AeraC0U2Ac0xgCxOSYg_16_18"/>
      <w:bookmarkStart w:id="1171" w:name="Tc_A8vsVHKCdUqJ20F_UmJ1UQ_16_16"/>
      <w:bookmarkStart w:id="1172" w:name="Tc_tHwH02BTqEuoDM_MjKgkTA_16_14"/>
      <w:bookmarkStart w:id="1173" w:name="Tc_VPWIgavFxk2JZbDLB-dnMw_16_12"/>
      <w:bookmarkStart w:id="1174" w:name="Tc_N-SAbBAY9E6ByRecMymGHw_16_8"/>
      <w:bookmarkStart w:id="1175" w:name="Tc_Ftu7JOiK5EO0gYzvPsPsgQ_16_6"/>
      <w:bookmarkStart w:id="1176" w:name="Tc_RSOz10YKHEKr6v2k8hpa8A_16_4"/>
      <w:bookmarkStart w:id="1177" w:name="Tc_tfFm2BhF3ECYJS6ZxEx6Cg_16_2"/>
      <w:bookmarkStart w:id="1178" w:name="Tc_iun4oREmPkeg4RTE7nzRoQ_16_0"/>
      <w:bookmarkStart w:id="1179" w:name="Tc_6hdt0ayz802D-u4lHHC4xg_15_18"/>
      <w:bookmarkStart w:id="1180" w:name="Tc_lrgxP-6_NE--w0oe9M3hnA_15_16"/>
      <w:bookmarkStart w:id="1181" w:name="Tc_x1irZL4Uvk65-m5C4XhxaA_15_12"/>
      <w:bookmarkStart w:id="1182" w:name="Tc_OYH_fNqfIUy1u8W2wkK4ZA_15_10"/>
      <w:bookmarkStart w:id="1183" w:name="Tc_gDSxPPU_kEy14KAKI0TLzQ_15_8"/>
      <w:bookmarkStart w:id="1184" w:name="Tc_Tf4S1BILo02oKk9PgWiVUw_15_6"/>
      <w:bookmarkStart w:id="1185" w:name="Tc_QfmjZXxIhEaSF65jRk6S1Q_15_4"/>
      <w:bookmarkStart w:id="1186" w:name="Tc_rlzOqHIfgEay8rDLFM57Fg_15_2"/>
      <w:bookmarkStart w:id="1187" w:name="Tc_Zyqv9KogbEOQ9AZPpGhMHw_15_0"/>
      <w:bookmarkStart w:id="1188" w:name="Tc_0LWsKHI1LU6Q6W9dcPLebQ_14_18"/>
      <w:bookmarkStart w:id="1189" w:name="Tc_eOoUq_0UCkK8xXmzyJFWTw_14_16"/>
      <w:bookmarkStart w:id="1190" w:name="Tc_o6QWQKbE70Gr7Vkd9XgSsQ_14_12"/>
      <w:bookmarkStart w:id="1191" w:name="Tc_VIau4bOTYUq2uDEZz1BHRg_14_10"/>
      <w:bookmarkStart w:id="1192" w:name="Tc_3hYaM6pW2Uupejb8RdsPlA_14_8"/>
      <w:bookmarkStart w:id="1193" w:name="Tc_Z07pawT99UeYWO9PEhAmgw_14_6"/>
      <w:bookmarkStart w:id="1194" w:name="Tc_M3y7XR-nYkaUkpUZBYiO4A_14_4"/>
      <w:bookmarkStart w:id="1195" w:name="Tc_c-pF-S9tq0iItz2Mu7wmVA_14_2"/>
      <w:bookmarkStart w:id="1196" w:name="Tc_9FQ32bkHvk6fS3lq-0_XDQ_14_0"/>
      <w:bookmarkStart w:id="1197" w:name="Tc_5MR7fOOU-UiZzkg4I2F7Dg_13_20"/>
      <w:bookmarkStart w:id="1198" w:name="Tc_8exSbOC33kCnooLTVdoHpw_13_18"/>
      <w:bookmarkStart w:id="1199" w:name="Tc_mccBlDFog0SUwUXAhj8tiw_13_16"/>
      <w:bookmarkStart w:id="1200" w:name="Tc_KFOpoVNTeke-C85sgw9Oew_13_14"/>
      <w:bookmarkStart w:id="1201" w:name="Tc_9P0_acCo4Em65NeKUHua7A_13_12"/>
      <w:bookmarkStart w:id="1202" w:name="Tc_hFGvC5hFX0-jXDT5ItENeQ_13_4"/>
      <w:bookmarkStart w:id="1203" w:name="Tc_j5fWU-GwEEaQIBYDvOb08Q_13_2"/>
      <w:bookmarkStart w:id="1204" w:name="Tc_xOnXxKQkwECF60llCmtEtQ_13_0"/>
      <w:bookmarkStart w:id="1205" w:name="Tc_9ptnYgw4c0el2rOUgJmwFg_12_18"/>
      <w:bookmarkStart w:id="1206" w:name="Tc_N8FM77JWWk2NM8uQliFtVw_12_16"/>
      <w:bookmarkStart w:id="1207" w:name="Tc_SO8gsG4iM0G0byKRWBqFrg_12_14"/>
      <w:bookmarkStart w:id="1208" w:name="Tc_8fWiFhI3hEGV2eYXOCQM7w_12_12"/>
      <w:bookmarkStart w:id="1209" w:name="Tc_LE4l1nxhBkClEmwJJ0rCbg_12_8"/>
      <w:bookmarkStart w:id="1210" w:name="Tc_5mbWKpktykq4eWOu4UGBKg_12_4"/>
      <w:bookmarkStart w:id="1211" w:name="Tc_4M4JqofuR0aijRMAhsbxPg_12_2"/>
      <w:bookmarkStart w:id="1212" w:name="Tc_PurmwhpGEEqMh7ZE3DTQSQ_12_0"/>
      <w:bookmarkStart w:id="1213" w:name="Tc_JCnPGdc68E6Y5wTMzulZdQ_11_18"/>
      <w:bookmarkStart w:id="1214" w:name="Tc_FZdRUbkz2UeSbVZlIjYQuA_11_16"/>
      <w:bookmarkStart w:id="1215" w:name="Tc_rKvRGAldCkWWxK9P2VtJMA_11_14"/>
      <w:bookmarkStart w:id="1216" w:name="Tc_0rVydc3mgUC_ocx9CY0OGw_11_12"/>
      <w:bookmarkStart w:id="1217" w:name="Tc_wBI8wsh3hU2r3a6fvzkWKw_11_8"/>
      <w:bookmarkStart w:id="1218" w:name="Tc_rnCCiAu42EqOLZl6s558zw_11_4"/>
      <w:bookmarkStart w:id="1219" w:name="Tc_cRUKTJAP-EW87ReCGisAYg_11_2"/>
      <w:bookmarkStart w:id="1220" w:name="Tc_d-ZjaDXgn0iMMGsKy5QujA_11_0"/>
      <w:bookmarkStart w:id="1221" w:name="Tc_8SnANqqvqUOsAYikwnbTSQ_10_18"/>
      <w:bookmarkStart w:id="1222" w:name="Tc_nB2XLHq5aEC8jyLprF5dJQ_10_16"/>
      <w:bookmarkStart w:id="1223" w:name="Tc_ZQkkF-bUjEOtnTKSkWGpOQ_10_14"/>
      <w:bookmarkStart w:id="1224" w:name="Tc_CEUhdyt3S0O6QRX48HUaDQ_10_12"/>
      <w:bookmarkStart w:id="1225" w:name="Tc_bxp0ltBo_E6AiMS7XO4v1A_10_4"/>
      <w:bookmarkStart w:id="1226" w:name="Tc_xuU_Ca5wBUWJAFGEfBDSEg_10_2"/>
      <w:bookmarkStart w:id="1227" w:name="Tc_jKVjjEHgA0aLAAPFAxc1tg_10_0"/>
      <w:bookmarkStart w:id="1228" w:name="Tc_hRIbruKEBU2-qf3bAfYm8g_9_18"/>
      <w:bookmarkStart w:id="1229" w:name="Tc_zM4tLStCJEaqGfdbB_OcCw_9_16"/>
      <w:bookmarkStart w:id="1230" w:name="Tc_EtYs1Ys3BE6VUI-1FHXQ1g_9_14"/>
      <w:bookmarkStart w:id="1231" w:name="Tc_S7MYoHphm0aCd-BG_zw7Ug_9_12"/>
      <w:bookmarkStart w:id="1232" w:name="Tc_Gai4-pxVckCkeBAkdLwY5g_9_8"/>
      <w:bookmarkStart w:id="1233" w:name="Tc_1xc8ZDLviEC9t2e8T_IjkA_9_6"/>
      <w:bookmarkStart w:id="1234" w:name="Tc_iOOeNaOB3ECaYbiK2_80KA_9_4"/>
      <w:bookmarkStart w:id="1235" w:name="Tc_viLqnAvRXEKZw2lG5uFdMw_9_2"/>
      <w:bookmarkStart w:id="1236" w:name="Tc_UVfVmtV_C0eNZwyZ8EFBFw_9_0"/>
      <w:bookmarkStart w:id="1237" w:name="Tc_tAHK_G627E2Aa3FIcjQW_Q_8_18"/>
      <w:bookmarkStart w:id="1238" w:name="Tc_1HflseYiqESlhBWcz0BLVg_8_16"/>
      <w:bookmarkStart w:id="1239" w:name="Tc_tc8atbA8TkSTNVtSZ4ZQHg_8_14"/>
      <w:bookmarkStart w:id="1240" w:name="Tc_b1M_1EHp1Eiek167ptiUPA_8_12"/>
      <w:bookmarkStart w:id="1241" w:name="Tc_0JewiQUzV0mmDuEx9iOejg_8_8"/>
      <w:bookmarkStart w:id="1242" w:name="Tc_ImZsRAsbfEi1DfQrT1m5bA_8_6"/>
      <w:bookmarkStart w:id="1243" w:name="Tc_fGC3mTGLCk-nqb79q9Tq9Q_8_4"/>
      <w:bookmarkStart w:id="1244" w:name="Tc_0L0ETqLzsUil0u5MWZhGJA_8_2"/>
      <w:bookmarkStart w:id="1245" w:name="Tc_k5GPkcvydkSp78tjoFOUvA_8_0"/>
      <w:bookmarkStart w:id="1246" w:name="Tc_KB1Zl0G8BEO7of3VBuDQGg_7_20"/>
      <w:bookmarkStart w:id="1247" w:name="Tc_hV8ifgAIvkyJJygUk7Q8tw_7_18"/>
      <w:bookmarkStart w:id="1248" w:name="Tc_S5cAi-SOAUmdr0jjk3feTQ_7_16"/>
      <w:bookmarkStart w:id="1249" w:name="Tc_qSa3S3lB5E-lfSxLKFW1-Q_7_14"/>
      <w:bookmarkStart w:id="1250" w:name="Tc_33OPCFNOtESEadAAOf01Zw_7_12"/>
      <w:bookmarkStart w:id="1251" w:name="Tc_NQV0ca4enkut-hwwUldxwA_7_10"/>
      <w:bookmarkStart w:id="1252" w:name="Tc_Lx3c0QquhUWJarqnQAjApQ_7_0"/>
      <w:bookmarkStart w:id="1253" w:name="Tc_Kx2ssa6ahkuX-ycvklk82w_6_0"/>
      <w:bookmarkStart w:id="1254" w:name="Tc_yIJajTkczUWYhH8Twev-8g_5_20"/>
      <w:bookmarkStart w:id="1255" w:name="Tc_cclYPRvwY0ONo4GvK6mBOw_5_18"/>
      <w:bookmarkStart w:id="1256" w:name="Tc_EMywDNqCG0K179oGHvKW8Q_5_16"/>
      <w:bookmarkStart w:id="1257" w:name="Tc_HJAb9N86rU2RthFNJukElw_5_14"/>
      <w:bookmarkStart w:id="1258" w:name="Tc_J8wKUIIoHEu43mpq-spl2g_5_12"/>
      <w:bookmarkStart w:id="1259" w:name="Tc_sGyXzwhXHkiN_sWVqEzuNw_5_10"/>
      <w:bookmarkStart w:id="1260" w:name="Tc_rzToRHxwwEamPk08h3GehQ_5_8"/>
      <w:bookmarkStart w:id="1261" w:name="Tc_GQ82Qw_Yq061n0rR4P7SiA_5_4"/>
      <w:bookmarkStart w:id="1262" w:name="Tc_Qm5Gta6dTEOSuNRbhABpcQ_4_20"/>
      <w:bookmarkStart w:id="1263" w:name="Tc_UvJd-AahJ0eEYQlqEaQwFQ_4_18"/>
      <w:bookmarkStart w:id="1264" w:name="Tc_r9MIUJti9U2Ci7wDk9z_qA_4_16"/>
      <w:bookmarkStart w:id="1265" w:name="Tc_nI62v8pI-UieMNTP_Mv3PQ_4_14"/>
      <w:bookmarkStart w:id="1266" w:name="Tc_qN2Y2zJDvEOjJutv5aMMVA_4_12"/>
      <w:bookmarkStart w:id="1267" w:name="Tc_g3s7X2iQzU2G7L1tDxT5rw_4_10"/>
      <w:bookmarkStart w:id="1268" w:name="Tc_sVJD7-XWIk-x_-AoNvrGKw_4_8"/>
      <w:bookmarkStart w:id="1269" w:name="Tc_AoFlh0KZTECjKFX5PcukdA_4_6"/>
      <w:bookmarkStart w:id="1270" w:name="Tc_2x4-6UYRC0mvaBDSWizyDg_4_4"/>
      <w:bookmarkStart w:id="1271" w:name="Tc_Pi_l5zjDQEelFm8ob6sbeg_4_2"/>
      <w:bookmarkStart w:id="1272" w:name="Tc_2cd_g_o2mkOg3uQ5EnuFCw_3_20"/>
      <w:bookmarkStart w:id="1273" w:name="Tc_52m-KYPpnUGHWeUB0NMFFg_3_18"/>
      <w:bookmarkStart w:id="1274" w:name="Tc_RSO6NHz-U02Gp8aQfcA86A_3_16"/>
      <w:bookmarkStart w:id="1275" w:name="Tc_BS_xZdMxRUWsN7KSyLL08w_3_14"/>
      <w:bookmarkStart w:id="1276" w:name="Tc_Rm6h5NtwCkambgO3HmqGfQ_3_12"/>
      <w:bookmarkStart w:id="1277" w:name="Tc_V-HjzsFQvkagw7MfyAjG1w_3_10"/>
      <w:bookmarkStart w:id="1278" w:name="Tc_x3_WGn6kBEWZquSqnYwIww_3_6"/>
      <w:bookmarkStart w:id="1279" w:name="Tc_mnPKYE7zkEuiWNZiyVCw7g_3_2"/>
      <w:bookmarkStart w:id="1280" w:name="Tc_iI9pf3CfaUCeJ9wYYMvtIg_2_20"/>
      <w:bookmarkStart w:id="1281" w:name="Tc_djPrnarT3kKXZ7GPP_hXOw_2_18"/>
      <w:bookmarkStart w:id="1282" w:name="Tc_gp2JjbW4s0SSu-uGKBQKCA_2_14"/>
      <w:bookmarkStart w:id="1283" w:name="Tc_9MlIHfaI8ke_gpLkM3T1yA_2_10"/>
      <w:bookmarkStart w:id="1284" w:name="Tc_yMFSGwLFM0eSnvzC0bZ9mw_2_2"/>
      <w:bookmarkStart w:id="1285" w:name="Tc_TkP4ItTE-k-MbOB8eowREg_1_14"/>
      <w:bookmarkStart w:id="1286" w:name="_df2fe7c9_8560_48ca_9ff0_e1b8e9222100"/>
      <w:bookmarkStart w:id="1287" w:name="Tc_8yWaDjRVAkGURjuPLuDa5Q_22_0"/>
      <w:bookmarkStart w:id="1288" w:name="Tc_ACk9HenCO0q7vJVuxhL89w_21_0"/>
      <w:bookmarkStart w:id="1289" w:name="Tc_hFaubAUHUkm75P5rids-LQ_20_14"/>
      <w:bookmarkStart w:id="1290" w:name="Tc_fcXDDSmzNkCKor_X88fz6g_20_12"/>
      <w:bookmarkStart w:id="1291" w:name="Tc__DZhAdag9USOB9jGbQophg_20_10"/>
      <w:bookmarkStart w:id="1292" w:name="Tc_-8x4dNMmHEuhnstqOx2ImQ_20_8"/>
      <w:bookmarkStart w:id="1293" w:name="Tc_KzXU_Y_Y0EOzYqfxCTjgLA_20_6"/>
      <w:bookmarkStart w:id="1294" w:name="Tc_x_ata9HBsUGkGgZMNgaUQQ_20_4"/>
      <w:bookmarkStart w:id="1295" w:name="Tc_YJt_b4QdgUCgcQTS_SVM8Q_20_2"/>
      <w:bookmarkStart w:id="1296" w:name="Tc_1znXuYM0WUGvZvgRPmWwgg_20_0"/>
      <w:bookmarkStart w:id="1297" w:name="Tc_r8taPeSUpkKdd3eyEYp13A_19_20"/>
      <w:bookmarkStart w:id="1298" w:name="Tc_XQ3nAQINCEGbfI1BPipZzA_19_18"/>
      <w:bookmarkStart w:id="1299" w:name="Tc_MroJqx2_yEGJl-ia8qsCbQ_19_14"/>
      <w:bookmarkStart w:id="1300" w:name="Tc_P_8cP-iwhE6SbUfHE9t71Q_19_10"/>
      <w:bookmarkStart w:id="1301" w:name="Tc_qtO_dI6dGky7Qcbjx9RwRA_19_8"/>
      <w:bookmarkStart w:id="1302" w:name="Tc_3K0lLJbn8k-rtxLG_q9-9Q_19_6"/>
      <w:bookmarkStart w:id="1303" w:name="Tc_59aJCNv01ky8FdITqsiI0w_19_4"/>
      <w:bookmarkStart w:id="1304" w:name="Tc_m2zYI7X3Ok2p_tM6QmHz9Q_19_2"/>
      <w:bookmarkStart w:id="1305" w:name="Tc_K_uSXqInU0WKuGpZ7KgDkQ_19_0"/>
      <w:bookmarkStart w:id="1306" w:name="Tc_uxogRGUfpkW1k2tYhkTZvQ_18_16"/>
      <w:bookmarkStart w:id="1307" w:name="Tc_C3ZMdQnQvE2Y1ApC5G18GQ_18_14"/>
      <w:bookmarkStart w:id="1308" w:name="Tc_gl9IujNeCU6UZIJ3CdmAGg_18_12"/>
      <w:bookmarkStart w:id="1309" w:name="Tc_w9LIL6zAJUm4hXtaHiEqcQ_18_8"/>
      <w:bookmarkStart w:id="1310" w:name="Tc_ljAP80Arq0WOZULSbuN2AA_18_6"/>
      <w:bookmarkStart w:id="1311" w:name="Tc_GLXXHWTmp0SFf_uv1G1aRg_18_4"/>
      <w:bookmarkStart w:id="1312" w:name="Tc_1DQTeq-ewkKwtzOrpHGeHg_18_2"/>
      <w:bookmarkStart w:id="1313" w:name="Tc_c9ConuqJHU6Mq7VQfJHjPw_18_0"/>
      <w:bookmarkStart w:id="1314" w:name="Tc_npwnrflP3EW_kib5BFI7rQ_17_18"/>
      <w:bookmarkStart w:id="1315" w:name="Tc_FML5HQxMSkeUNWCVagIwtw_17_16"/>
      <w:bookmarkStart w:id="1316" w:name="Tc_fXCZQ1W6T0OA1zFHybZiTw_17_14"/>
      <w:bookmarkStart w:id="1317" w:name="Tc_P_5u_dLzdkWl6pD3Krz3mw_17_12"/>
      <w:bookmarkStart w:id="1318" w:name="Tc_Y_xByCU160aLcbeg6nJzWA_17_8"/>
      <w:bookmarkStart w:id="1319" w:name="Tc_3UkChb1TrEuPZC3-bdSk4Q_17_6"/>
      <w:bookmarkStart w:id="1320" w:name="Tc_EVQRNfHXcEW-upII0FMgCg_17_4"/>
      <w:bookmarkStart w:id="1321" w:name="Tc_YsVW8oZAMESjfJkdxlanIg_17_2"/>
      <w:bookmarkStart w:id="1322" w:name="Tc_VbVH-a4jc0usCvTV8G5OeQ_17_0"/>
      <w:bookmarkStart w:id="1323" w:name="Tc__r7AeraC0U2Ac0xgCxOSYg_16_18"/>
      <w:bookmarkStart w:id="1324" w:name="Tc_A8vsVHKCdUqJ20F_UmJ1UQ_16_16"/>
      <w:bookmarkStart w:id="1325" w:name="Tc_tHwH02BTqEuoDM_MjKgkTA_16_14"/>
      <w:bookmarkStart w:id="1326" w:name="Tc_VPWIgavFxk2JZbDLB-dnMw_16_12"/>
      <w:bookmarkStart w:id="1327" w:name="Tc_N-SAbBAY9E6ByRecMymGHw_16_8"/>
      <w:bookmarkStart w:id="1328" w:name="Tc_Ftu7JOiK5EO0gYzvPsPsgQ_16_6"/>
      <w:bookmarkStart w:id="1329" w:name="Tc_RSOz10YKHEKr6v2k8hpa8A_16_4"/>
      <w:bookmarkStart w:id="1330" w:name="Tc_tfFm2BhF3ECYJS6ZxEx6Cg_16_2"/>
      <w:bookmarkStart w:id="1331" w:name="Tc_iun4oREmPkeg4RTE7nzRoQ_16_0"/>
      <w:bookmarkStart w:id="1332" w:name="Tc_6hdt0ayz802D-u4lHHC4xg_15_18"/>
      <w:bookmarkStart w:id="1333" w:name="Tc_lrgxP-6_NE--w0oe9M3hnA_15_16"/>
      <w:bookmarkStart w:id="1334" w:name="Tc_x1irZL4Uvk65-m5C4XhxaA_15_12"/>
      <w:bookmarkStart w:id="1335" w:name="Tc_OYH_fNqfIUy1u8W2wkK4ZA_15_10"/>
      <w:bookmarkStart w:id="1336" w:name="Tc_gDSxPPU_kEy14KAKI0TLzQ_15_8"/>
      <w:bookmarkStart w:id="1337" w:name="Tc_Tf4S1BILo02oKk9PgWiVUw_15_6"/>
      <w:bookmarkStart w:id="1338" w:name="Tc_QfmjZXxIhEaSF65jRk6S1Q_15_4"/>
      <w:bookmarkStart w:id="1339" w:name="Tc_rlzOqHIfgEay8rDLFM57Fg_15_2"/>
      <w:bookmarkStart w:id="1340" w:name="Tc_Zyqv9KogbEOQ9AZPpGhMHw_15_0"/>
      <w:bookmarkStart w:id="1341" w:name="Tc_0LWsKHI1LU6Q6W9dcPLebQ_14_18"/>
      <w:bookmarkStart w:id="1342" w:name="Tc_eOoUq_0UCkK8xXmzyJFWTw_14_16"/>
      <w:bookmarkStart w:id="1343" w:name="Tc_o6QWQKbE70Gr7Vkd9XgSsQ_14_12"/>
      <w:bookmarkStart w:id="1344" w:name="Tc_VIau4bOTYUq2uDEZz1BHRg_14_10"/>
      <w:bookmarkStart w:id="1345" w:name="Tc_3hYaM6pW2Uupejb8RdsPlA_14_8"/>
      <w:bookmarkStart w:id="1346" w:name="Tc_Z07pawT99UeYWO9PEhAmgw_14_6"/>
      <w:bookmarkStart w:id="1347" w:name="Tc_M3y7XR-nYkaUkpUZBYiO4A_14_4"/>
      <w:bookmarkStart w:id="1348" w:name="Tc_c-pF-S9tq0iItz2Mu7wmVA_14_2"/>
      <w:bookmarkStart w:id="1349" w:name="Tc_9FQ32bkHvk6fS3lq-0_XDQ_14_0"/>
      <w:bookmarkStart w:id="1350" w:name="Tc_5MR7fOOU-UiZzkg4I2F7Dg_13_20"/>
      <w:bookmarkStart w:id="1351" w:name="Tc_8exSbOC33kCnooLTVdoHpw_13_18"/>
      <w:bookmarkStart w:id="1352" w:name="Tc_mccBlDFog0SUwUXAhj8tiw_13_16"/>
      <w:bookmarkStart w:id="1353" w:name="Tc_KFOpoVNTeke-C85sgw9Oew_13_14"/>
      <w:bookmarkStart w:id="1354" w:name="Tc_9P0_acCo4Em65NeKUHua7A_13_12"/>
      <w:bookmarkStart w:id="1355" w:name="Tc_hFGvC5hFX0-jXDT5ItENeQ_13_4"/>
      <w:bookmarkStart w:id="1356" w:name="Tc_j5fWU-GwEEaQIBYDvOb08Q_13_2"/>
      <w:bookmarkStart w:id="1357" w:name="Tc_xOnXxKQkwECF60llCmtEtQ_13_0"/>
      <w:bookmarkStart w:id="1358" w:name="Tc_9ptnYgw4c0el2rOUgJmwFg_12_18"/>
      <w:bookmarkStart w:id="1359" w:name="Tc_N8FM77JWWk2NM8uQliFtVw_12_16"/>
      <w:bookmarkStart w:id="1360" w:name="Tc_SO8gsG4iM0G0byKRWBqFrg_12_14"/>
      <w:bookmarkStart w:id="1361" w:name="Tc_8fWiFhI3hEGV2eYXOCQM7w_12_12"/>
      <w:bookmarkStart w:id="1362" w:name="Tc_LE4l1nxhBkClEmwJJ0rCbg_12_8"/>
      <w:bookmarkStart w:id="1363" w:name="Tc_5mbWKpktykq4eWOu4UGBKg_12_4"/>
      <w:bookmarkStart w:id="1364" w:name="Tc_4M4JqofuR0aijRMAhsbxPg_12_2"/>
      <w:bookmarkStart w:id="1365" w:name="Tc_PurmwhpGEEqMh7ZE3DTQSQ_12_0"/>
      <w:bookmarkStart w:id="1366" w:name="Tc_JCnPGdc68E6Y5wTMzulZdQ_11_18"/>
      <w:bookmarkStart w:id="1367" w:name="Tc_FZdRUbkz2UeSbVZlIjYQuA_11_16"/>
      <w:bookmarkStart w:id="1368" w:name="Tc_rKvRGAldCkWWxK9P2VtJMA_11_14"/>
      <w:bookmarkStart w:id="1369" w:name="Tc_0rVydc3mgUC_ocx9CY0OGw_11_12"/>
      <w:bookmarkStart w:id="1370" w:name="Tc_wBI8wsh3hU2r3a6fvzkWKw_11_8"/>
      <w:bookmarkStart w:id="1371" w:name="Tc_rnCCiAu42EqOLZl6s558zw_11_4"/>
      <w:bookmarkStart w:id="1372" w:name="Tc_cRUKTJAP-EW87ReCGisAYg_11_2"/>
      <w:bookmarkStart w:id="1373" w:name="Tc_d-ZjaDXgn0iMMGsKy5QujA_11_0"/>
      <w:bookmarkStart w:id="1374" w:name="Tc_8SnANqqvqUOsAYikwnbTSQ_10_18"/>
      <w:bookmarkStart w:id="1375" w:name="Tc_nB2XLHq5aEC8jyLprF5dJQ_10_16"/>
      <w:bookmarkStart w:id="1376" w:name="Tc_ZQkkF-bUjEOtnTKSkWGpOQ_10_14"/>
      <w:bookmarkStart w:id="1377" w:name="Tc_CEUhdyt3S0O6QRX48HUaDQ_10_12"/>
      <w:bookmarkStart w:id="1378" w:name="Tc_bxp0ltBo_E6AiMS7XO4v1A_10_4"/>
      <w:bookmarkStart w:id="1379" w:name="Tc_xuU_Ca5wBUWJAFGEfBDSEg_10_2"/>
      <w:bookmarkStart w:id="1380" w:name="Tc_jKVjjEHgA0aLAAPFAxc1tg_10_0"/>
      <w:bookmarkStart w:id="1381" w:name="Tc_hRIbruKEBU2-qf3bAfYm8g_9_18"/>
      <w:bookmarkStart w:id="1382" w:name="Tc_zM4tLStCJEaqGfdbB_OcCw_9_16"/>
      <w:bookmarkStart w:id="1383" w:name="Tc_EtYs1Ys3BE6VUI-1FHXQ1g_9_14"/>
      <w:bookmarkStart w:id="1384" w:name="Tc_S7MYoHphm0aCd-BG_zw7Ug_9_12"/>
      <w:bookmarkStart w:id="1385" w:name="Tc_Gai4-pxVckCkeBAkdLwY5g_9_8"/>
      <w:bookmarkStart w:id="1386" w:name="Tc_1xc8ZDLviEC9t2e8T_IjkA_9_6"/>
      <w:bookmarkStart w:id="1387" w:name="Tc_iOOeNaOB3ECaYbiK2_80KA_9_4"/>
      <w:bookmarkStart w:id="1388" w:name="Tc_viLqnAvRXEKZw2lG5uFdMw_9_2"/>
      <w:bookmarkStart w:id="1389" w:name="Tc_UVfVmtV_C0eNZwyZ8EFBFw_9_0"/>
      <w:bookmarkStart w:id="1390" w:name="Tc_tAHK_G627E2Aa3FIcjQW_Q_8_18"/>
      <w:bookmarkStart w:id="1391" w:name="Tc_1HflseYiqESlhBWcz0BLVg_8_16"/>
      <w:bookmarkStart w:id="1392" w:name="Tc_tc8atbA8TkSTNVtSZ4ZQHg_8_14"/>
      <w:bookmarkStart w:id="1393" w:name="Tc_b1M_1EHp1Eiek167ptiUPA_8_12"/>
      <w:bookmarkStart w:id="1394" w:name="Tc_0JewiQUzV0mmDuEx9iOejg_8_8"/>
      <w:bookmarkStart w:id="1395" w:name="Tc_ImZsRAsbfEi1DfQrT1m5bA_8_6"/>
      <w:bookmarkStart w:id="1396" w:name="Tc_fGC3mTGLCk-nqb79q9Tq9Q_8_4"/>
      <w:bookmarkStart w:id="1397" w:name="Tc_0L0ETqLzsUil0u5MWZhGJA_8_2"/>
      <w:bookmarkStart w:id="1398" w:name="Tc_k5GPkcvydkSp78tjoFOUvA_8_0"/>
      <w:bookmarkStart w:id="1399" w:name="Tc_KB1Zl0G8BEO7of3VBuDQGg_7_20"/>
      <w:bookmarkStart w:id="1400" w:name="Tc_hV8ifgAIvkyJJygUk7Q8tw_7_18"/>
      <w:bookmarkStart w:id="1401" w:name="Tc_S5cAi-SOAUmdr0jjk3feTQ_7_16"/>
      <w:bookmarkStart w:id="1402" w:name="Tc_qSa3S3lB5E-lfSxLKFW1-Q_7_14"/>
      <w:bookmarkStart w:id="1403" w:name="Tc_33OPCFNOtESEadAAOf01Zw_7_12"/>
      <w:bookmarkStart w:id="1404" w:name="Tc_NQV0ca4enkut-hwwUldxwA_7_10"/>
      <w:bookmarkStart w:id="1405" w:name="Tc_Lx3c0QquhUWJarqnQAjApQ_7_0"/>
      <w:bookmarkStart w:id="1406" w:name="Tc_Kx2ssa6ahkuX-ycvklk82w_6_0"/>
      <w:bookmarkStart w:id="1407" w:name="Tc_yIJajTkczUWYhH8Twev-8g_5_20"/>
      <w:bookmarkStart w:id="1408" w:name="Tc_cclYPRvwY0ONo4GvK6mBOw_5_18"/>
      <w:bookmarkStart w:id="1409" w:name="Tc_EMywDNqCG0K179oGHvKW8Q_5_16"/>
      <w:bookmarkStart w:id="1410" w:name="Tc_HJAb9N86rU2RthFNJukElw_5_14"/>
      <w:bookmarkStart w:id="1411" w:name="Tc_J8wKUIIoHEu43mpq-spl2g_5_12"/>
      <w:bookmarkStart w:id="1412" w:name="Tc_sGyXzwhXHkiN_sWVqEzuNw_5_10"/>
      <w:bookmarkStart w:id="1413" w:name="Tc_rzToRHxwwEamPk08h3GehQ_5_8"/>
      <w:bookmarkStart w:id="1414" w:name="Tc_GQ82Qw_Yq061n0rR4P7SiA_5_4"/>
      <w:bookmarkStart w:id="1415" w:name="Tc_Qm5Gta6dTEOSuNRbhABpcQ_4_20"/>
      <w:bookmarkStart w:id="1416" w:name="Tc_UvJd-AahJ0eEYQlqEaQwFQ_4_18"/>
      <w:bookmarkStart w:id="1417" w:name="Tc_r9MIUJti9U2Ci7wDk9z_qA_4_16"/>
      <w:bookmarkStart w:id="1418" w:name="Tc_nI62v8pI-UieMNTP_Mv3PQ_4_14"/>
      <w:bookmarkStart w:id="1419" w:name="Tc_qN2Y2zJDvEOjJutv5aMMVA_4_12"/>
      <w:bookmarkStart w:id="1420" w:name="Tc_g3s7X2iQzU2G7L1tDxT5rw_4_10"/>
      <w:bookmarkStart w:id="1421" w:name="Tc_sVJD7-XWIk-x_-AoNvrGKw_4_8"/>
      <w:bookmarkStart w:id="1422" w:name="Tc_AoFlh0KZTECjKFX5PcukdA_4_6"/>
      <w:bookmarkStart w:id="1423" w:name="Tc_2x4-6UYRC0mvaBDSWizyDg_4_4"/>
      <w:bookmarkStart w:id="1424" w:name="Tc_Pi_l5zjDQEelFm8ob6sbeg_4_2"/>
      <w:bookmarkStart w:id="1425" w:name="Tc_2cd_g_o2mkOg3uQ5EnuFCw_3_20"/>
      <w:bookmarkStart w:id="1426" w:name="Tc_52m-KYPpnUGHWeUB0NMFFg_3_18"/>
      <w:bookmarkStart w:id="1427" w:name="Tc_RSO6NHz-U02Gp8aQfcA86A_3_16"/>
      <w:bookmarkStart w:id="1428" w:name="Tc_BS_xZdMxRUWsN7KSyLL08w_3_14"/>
      <w:bookmarkStart w:id="1429" w:name="Tc_Rm6h5NtwCkambgO3HmqGfQ_3_12"/>
      <w:bookmarkStart w:id="1430" w:name="Tc_V-HjzsFQvkagw7MfyAjG1w_3_10"/>
      <w:bookmarkStart w:id="1431" w:name="Tc_x3_WGn6kBEWZquSqnYwIww_3_6"/>
      <w:bookmarkStart w:id="1432" w:name="Tc_mnPKYE7zkEuiWNZiyVCw7g_3_2"/>
      <w:bookmarkStart w:id="1433" w:name="Tc_iI9pf3CfaUCeJ9wYYMvtIg_2_20"/>
      <w:bookmarkStart w:id="1434" w:name="Tc_djPrnarT3kKXZ7GPP_hXOw_2_18"/>
      <w:bookmarkStart w:id="1435" w:name="Tc_gp2JjbW4s0SSu-uGKBQKCA_2_14"/>
      <w:bookmarkStart w:id="1436" w:name="Tc_9MlIHfaI8ke_gpLkM3T1yA_2_10"/>
      <w:bookmarkStart w:id="1437" w:name="Tc_yMFSGwLFM0eSnvzC0bZ9mw_2_2"/>
      <w:bookmarkStart w:id="1438" w:name="Tc_TkP4ItTE-k-MbOB8eowREg_1_14"/>
      <w:bookmarkStart w:id="1439" w:name="_df2fe7c9_8560_48ca_9ff0_e1b8e9222100"/>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p>
    <w:tbl>
      <w:tblPr>
        <w:tblW w:w="14956" w:type="dxa"/>
        <w:jc w:val="left"/>
        <w:tblInd w:w="0" w:type="dxa"/>
        <w:tblCellMar>
          <w:top w:w="0" w:type="dxa"/>
          <w:left w:w="0" w:type="dxa"/>
          <w:bottom w:w="0" w:type="dxa"/>
          <w:right w:w="0" w:type="dxa"/>
        </w:tblCellMar>
      </w:tblPr>
      <w:tblGrid>
        <w:gridCol w:w="1411"/>
        <w:gridCol w:w="326"/>
        <w:gridCol w:w="1291"/>
        <w:gridCol w:w="326"/>
        <w:gridCol w:w="691"/>
        <w:gridCol w:w="326"/>
        <w:gridCol w:w="1096"/>
        <w:gridCol w:w="326"/>
        <w:gridCol w:w="691"/>
        <w:gridCol w:w="326"/>
        <w:gridCol w:w="1141"/>
        <w:gridCol w:w="326"/>
        <w:gridCol w:w="811"/>
        <w:gridCol w:w="326"/>
        <w:gridCol w:w="1276"/>
        <w:gridCol w:w="326"/>
        <w:gridCol w:w="1201"/>
        <w:gridCol w:w="326"/>
        <w:gridCol w:w="901"/>
        <w:gridCol w:w="326"/>
        <w:gridCol w:w="1186"/>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895985" cy="175260"/>
                      <wp:effectExtent l="0" t="0" r="0" b="0"/>
                      <wp:wrapNone/>
                      <wp:docPr id="374" name="Frame367"/>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5"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819785" cy="175260"/>
                      <wp:effectExtent l="0" t="0" r="0" b="0"/>
                      <wp:wrapNone/>
                      <wp:docPr id="376" name="Frame369"/>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7"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8785" cy="175260"/>
                      <wp:effectExtent l="0" t="0" r="0" b="0"/>
                      <wp:wrapNone/>
                      <wp:docPr id="378" name="Frame37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9"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5960" cy="175260"/>
                      <wp:effectExtent l="0" t="0" r="0" b="0"/>
                      <wp:wrapNone/>
                      <wp:docPr id="380" name="Frame37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1" name="Frame3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2" name="Frame37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3"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24535" cy="175260"/>
                      <wp:effectExtent l="0" t="0" r="0" b="0"/>
                      <wp:wrapNone/>
                      <wp:docPr id="384" name="Frame37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5"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14985" cy="175260"/>
                      <wp:effectExtent l="0" t="0" r="0" b="0"/>
                      <wp:wrapNone/>
                      <wp:docPr id="386" name="Frame379"/>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7"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810260" cy="175260"/>
                      <wp:effectExtent l="0" t="0" r="0" b="0"/>
                      <wp:wrapNone/>
                      <wp:docPr id="388" name="Frame381"/>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89"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762635" cy="175260"/>
                      <wp:effectExtent l="0" t="0" r="0" b="0"/>
                      <wp:wrapNone/>
                      <wp:docPr id="390" name="Frame383"/>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1"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72135" cy="175260"/>
                      <wp:effectExtent l="0" t="0" r="0" b="0"/>
                      <wp:wrapNone/>
                      <wp:docPr id="392" name="Frame38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3"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53110" cy="175260"/>
                      <wp:effectExtent l="0" t="0" r="0" b="0"/>
                      <wp:wrapNone/>
                      <wp:docPr id="394" name="Frame387"/>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1"/>
              <w:ind w:left="0" w:right="0" w:hanging="0"/>
              <w:jc w:val="center"/>
              <w:rPr/>
            </w:pPr>
            <w:r>
              <w:rPr/>
              <w:t>    </w:t>
            </w:r>
          </w:p>
        </w:tc>
        <w:tc>
          <w:tcPr>
            <w:tcW w:w="12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86" w:type="dxa"/>
            <w:tcBorders/>
            <w:shd w:fill="auto" w:val="clear"/>
            <w:vAlign w:val="center"/>
          </w:tcPr>
          <w:p>
            <w:pPr>
              <w:pStyle w:val="TableContents"/>
              <w:spacing w:before="0" w:after="1"/>
              <w:ind w:left="0" w:right="0" w:hanging="0"/>
              <w:jc w:val="center"/>
              <w:rPr/>
            </w:pPr>
            <w:r>
              <w:rPr/>
              <w:t>​</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and Class B </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Non</w:t>
            </w:r>
            <w:r>
              <w:rPr>
                <w:rFonts w:ascii="Times New Roman;Times;serif" w:hAnsi="Times New Roman;Times;serif"/>
                <w:sz w:val="16"/>
              </w:rPr>
              <w:noBreakHyphen/>
              <w:t> </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1"/>
              <w:ind w:left="0" w:right="0" w:hanging="0"/>
              <w:jc w:val="center"/>
              <w:rPr/>
            </w:pPr>
            <w:r>
              <w:rPr/>
              <w:t>​</w:t>
            </w:r>
          </w:p>
        </w:tc>
        <w:tc>
          <w:tcPr>
            <w:tcW w:w="211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as of January 1, 2022</w:t>
            </w:r>
          </w:p>
        </w:tc>
        <w:tc>
          <w:tcPr>
            <w:tcW w:w="326" w:type="dxa"/>
            <w:tcBorders/>
            <w:shd w:fill="CCEEFF" w:val="clear"/>
            <w:vAlign w:val="center"/>
          </w:tcPr>
          <w:p>
            <w:pPr>
              <w:pStyle w:val="TableContents"/>
              <w:spacing w:before="0" w:after="1"/>
              <w:ind w:left="0" w:right="0" w:hanging="0"/>
              <w:jc w:val="center"/>
              <w:rPr/>
            </w:pPr>
            <w:r>
              <w:rPr/>
              <w:t>​</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1,205,852,426</w:t>
            </w:r>
          </w:p>
        </w:tc>
        <w:tc>
          <w:tcPr>
            <w:tcW w:w="326" w:type="dxa"/>
            <w:tcBorders/>
            <w:shd w:fill="CCEEFF" w:val="clear"/>
            <w:vAlign w:val="center"/>
          </w:tcPr>
          <w:p>
            <w:pPr>
              <w:pStyle w:val="TableContents"/>
              <w:spacing w:before="0" w:after="1"/>
              <w:ind w:left="0" w:right="0" w:hanging="0"/>
              <w:jc w:val="center"/>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26" w:type="dxa"/>
            <w:tcBorders/>
            <w:shd w:fill="CCEEFF" w:val="clear"/>
            <w:vAlign w:val="center"/>
          </w:tcPr>
          <w:p>
            <w:pPr>
              <w:pStyle w:val="TableContents"/>
              <w:spacing w:before="0" w:after="1"/>
              <w:ind w:left="0" w:right="0" w:hanging="0"/>
              <w:jc w:val="center"/>
              <w:rPr/>
            </w:pPr>
            <w:r>
              <w:rPr/>
              <w:t>​</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(23,218,578)</w:t>
            </w:r>
          </w:p>
        </w:tc>
        <w:tc>
          <w:tcPr>
            <w:tcW w:w="326" w:type="dxa"/>
            <w:tcBorders/>
            <w:shd w:fill="CCEEFF" w:val="clear"/>
            <w:vAlign w:val="center"/>
          </w:tcPr>
          <w:p>
            <w:pPr>
              <w:pStyle w:val="TableContents"/>
              <w:spacing w:before="0" w:after="1"/>
              <w:ind w:left="0" w:right="0" w:hanging="0"/>
              <w:jc w:val="center"/>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26" w:type="dxa"/>
            <w:tcBorders/>
            <w:shd w:fill="CCEEFF" w:val="clear"/>
            <w:vAlign w:val="center"/>
          </w:tcPr>
          <w:p>
            <w:pPr>
              <w:pStyle w:val="TableContents"/>
              <w:spacing w:before="0" w:after="1"/>
              <w:ind w:left="0" w:right="0" w:hanging="0"/>
              <w:jc w:val="center"/>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251,384,835</w:t>
            </w:r>
          </w:p>
        </w:tc>
        <w:tc>
          <w:tcPr>
            <w:tcW w:w="326" w:type="dxa"/>
            <w:tcBorders/>
            <w:shd w:fill="CCEEFF" w:val="clear"/>
            <w:vAlign w:val="center"/>
          </w:tcPr>
          <w:p>
            <w:pPr>
              <w:pStyle w:val="TableContents"/>
              <w:spacing w:before="0" w:after="1"/>
              <w:ind w:left="0" w:right="0" w:hanging="0"/>
              <w:jc w:val="center"/>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27,917</w:t>
            </w:r>
          </w:p>
        </w:tc>
        <w:tc>
          <w:tcPr>
            <w:tcW w:w="326" w:type="dxa"/>
            <w:tcBorders/>
            <w:shd w:fill="CCEEFF" w:val="clear"/>
            <w:vAlign w:val="center"/>
          </w:tcPr>
          <w:p>
            <w:pPr>
              <w:pStyle w:val="TableContents"/>
              <w:spacing w:before="0" w:after="1"/>
              <w:ind w:left="0" w:right="0" w:hanging="0"/>
              <w:jc w:val="center"/>
              <w:rPr/>
            </w:pPr>
            <w:r>
              <w:rPr/>
              <w:t>​</w:t>
            </w:r>
          </w:p>
        </w:tc>
        <w:tc>
          <w:tcPr>
            <w:tcW w:w="12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(3,599,745)</w:t>
            </w:r>
          </w:p>
        </w:tc>
        <w:tc>
          <w:tcPr>
            <w:tcW w:w="326" w:type="dxa"/>
            <w:tcBorders/>
            <w:shd w:fill="CCEEFF" w:val="clear"/>
            <w:vAlign w:val="center"/>
          </w:tcPr>
          <w:p>
            <w:pPr>
              <w:pStyle w:val="TableContents"/>
              <w:spacing w:before="0" w:after="1"/>
              <w:ind w:left="0" w:right="0" w:hanging="0"/>
              <w:jc w:val="center"/>
              <w:rPr/>
            </w:pPr>
            <w:r>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(135,766,257)</w:t>
            </w:r>
          </w:p>
        </w:tc>
        <w:tc>
          <w:tcPr>
            <w:tcW w:w="326" w:type="dxa"/>
            <w:tcBorders/>
            <w:shd w:fill="CCEEFF" w:val="clear"/>
            <w:vAlign w:val="center"/>
          </w:tcPr>
          <w:p>
            <w:pPr>
              <w:pStyle w:val="TableContents"/>
              <w:spacing w:before="0" w:after="1"/>
              <w:ind w:left="0" w:right="0" w:hanging="0"/>
              <w:jc w:val="center"/>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72,601</w:t>
            </w:r>
          </w:p>
        </w:tc>
        <w:tc>
          <w:tcPr>
            <w:tcW w:w="326" w:type="dxa"/>
            <w:tcBorders/>
            <w:shd w:fill="CCEEFF" w:val="clear"/>
            <w:vAlign w:val="center"/>
          </w:tcPr>
          <w:p>
            <w:pPr>
              <w:pStyle w:val="TableContents"/>
              <w:spacing w:before="0" w:after="1"/>
              <w:ind w:left="0" w:right="0" w:hanging="0"/>
              <w:jc w:val="center"/>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112,119,504</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Issuances of ordinary shares pursuant to share incentive plan</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20,917,324</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(20,917,324)</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pPr>
            <w:r>
              <w:rPr/>
              <w:t>—</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3,424,049</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3,424,049</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awards granted to employees of an equity investee</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47,421</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47,421</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Issuance of ordinary shares in connection with exercise of share opions and vesting of restricted shares and RSUs</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8,695,424</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7,525</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7,526</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Shares withheld related to net share settlement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(2,756,641)</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(275,479)</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(275,479)</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Release of shares withheld</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1,444,050</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147,102</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147,102</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Release of shares from trusts</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6,937,306</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pPr>
            <w:r>
              <w:rPr/>
              <w:t>—</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 of other comprehensive loss of equity method investees</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(12,617)</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(12,617)</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4,585,505</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4,585,505</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(898,649)</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Repurchase of convertible redeemable non-controlling interests</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15,764</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15,764</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Repurchase of non-controlling interests</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(28,023)</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(4,827)</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(32,850)</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Appropriation to statutory reserves</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41,411</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(41,411)</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shd w:fill="auto" w:val="clear"/>
            <w:vAlign w:val="center"/>
          </w:tcPr>
          <w:p>
            <w:pPr>
              <w:pStyle w:val="TableContents"/>
              <w:spacing w:before="0" w:after="1"/>
              <w:ind w:left="0" w:right="0" w:hanging="0"/>
              <w:jc w:val="right"/>
              <w:rPr/>
            </w:pPr>
            <w:r>
              <w:rPr/>
              <w:t>—</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2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(23,783,321)</w:t>
            </w:r>
          </w:p>
        </w:tc>
        <w:tc>
          <w:tcPr>
            <w:tcW w:w="326" w:type="dxa"/>
            <w:tcBorders/>
            <w:shd w:fill="CCEEFF" w:val="clear"/>
            <w:vAlign w:val="center"/>
          </w:tcPr>
          <w:p>
            <w:pPr>
              <w:pStyle w:val="TableContents"/>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spacing w:before="0" w:after="1"/>
              <w:ind w:left="0" w:right="0" w:hanging="0"/>
              <w:jc w:val="right"/>
              <w:rPr/>
            </w:pPr>
            <w:r>
              <w:rPr/>
              <w:t>​</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(23,782,511)</w:t>
            </w:r>
          </w:p>
        </w:tc>
      </w:tr>
      <w:tr>
        <w:trPr/>
        <w:tc>
          <w:tcPr>
            <w:tcW w:w="141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1,226,769,750</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159</w:t>
            </w:r>
          </w:p>
        </w:tc>
        <w:tc>
          <w:tcPr>
            <w:tcW w:w="326" w:type="dxa"/>
            <w:tcBorders/>
            <w:shd w:fill="auto" w:val="clear"/>
            <w:vAlign w:val="center"/>
          </w:tcPr>
          <w:p>
            <w:pPr>
              <w:pStyle w:val="TableContents"/>
              <w:spacing w:before="0" w:after="1"/>
              <w:ind w:left="0" w:right="0" w:hanging="0"/>
              <w:jc w:val="right"/>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(29,815,763)</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253,824,544</w:t>
            </w:r>
          </w:p>
        </w:tc>
        <w:tc>
          <w:tcPr>
            <w:tcW w:w="326" w:type="dxa"/>
            <w:tcBorders/>
            <w:shd w:fill="auto" w:val="clear"/>
            <w:vAlign w:val="center"/>
          </w:tcPr>
          <w:p>
            <w:pPr>
              <w:pStyle w:val="TableContents"/>
              <w:spacing w:before="0" w:after="1"/>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69,328</w:t>
            </w:r>
          </w:p>
        </w:tc>
        <w:tc>
          <w:tcPr>
            <w:tcW w:w="326" w:type="dxa"/>
            <w:tcBorders/>
            <w:shd w:fill="auto" w:val="clear"/>
            <w:vAlign w:val="center"/>
          </w:tcPr>
          <w:p>
            <w:pPr>
              <w:pStyle w:val="TableContents"/>
              <w:spacing w:before="0" w:after="1"/>
              <w:ind w:left="0" w:right="0" w:hanging="0"/>
              <w:jc w:val="right"/>
              <w:rPr/>
            </w:pPr>
            <w:r>
              <w:rPr/>
              <w:t> </w:t>
            </w:r>
          </w:p>
        </w:tc>
        <w:tc>
          <w:tcPr>
            <w:tcW w:w="12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973,143</w:t>
            </w:r>
          </w:p>
        </w:tc>
        <w:tc>
          <w:tcPr>
            <w:tcW w:w="326" w:type="dxa"/>
            <w:tcBorders/>
            <w:shd w:fill="auto" w:val="clear"/>
            <w:vAlign w:val="center"/>
          </w:tcPr>
          <w:p>
            <w:pPr>
              <w:pStyle w:val="TableContents"/>
              <w:spacing w:before="0" w:after="1"/>
              <w:ind w:left="0" w:right="0" w:hanging="0"/>
              <w:jc w:val="right"/>
              <w:rPr/>
            </w:pPr>
            <w:r>
              <w:rPr/>
              <w:t> </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(159,590,989)</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68,584</w:t>
            </w:r>
          </w:p>
        </w:tc>
        <w:tc>
          <w:tcPr>
            <w:tcW w:w="326" w:type="dxa"/>
            <w:tcBorders/>
            <w:shd w:fill="auto" w:val="clear"/>
            <w:vAlign w:val="center"/>
          </w:tcPr>
          <w:p>
            <w:pPr>
              <w:pStyle w:val="TableContents"/>
              <w:spacing w:before="0" w:after="1"/>
              <w:ind w:left="0" w:right="0" w:hanging="0"/>
              <w:jc w:val="right"/>
              <w:rPr/>
            </w:pPr>
            <w:r>
              <w:rPr/>
              <w:t> </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95,344,765</w:t>
            </w:r>
          </w:p>
        </w:tc>
      </w:tr>
      <w:tr>
        <w:trPr/>
        <w:tc>
          <w:tcPr>
            <w:tcW w:w="141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2022 (US$)</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1,226,769,750</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26" w:type="dxa"/>
            <w:tcBorders/>
            <w:shd w:fill="CCEEFF" w:val="clear"/>
            <w:vAlign w:val="center"/>
          </w:tcPr>
          <w:p>
            <w:pPr>
              <w:pStyle w:val="TableContents"/>
              <w:spacing w:before="0" w:after="1"/>
              <w:ind w:left="0" w:right="0" w:hanging="0"/>
              <w:jc w:val="right"/>
              <w:rPr/>
            </w:pPr>
            <w:r>
              <w:rPr/>
              <w:t> </w:t>
            </w:r>
          </w:p>
        </w:tc>
        <w:tc>
          <w:tcPr>
            <w:tcW w:w="10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(29,815,763)</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36,801,100</w:t>
            </w:r>
          </w:p>
        </w:tc>
        <w:tc>
          <w:tcPr>
            <w:tcW w:w="326" w:type="dxa"/>
            <w:tcBorders/>
            <w:shd w:fill="CCEEFF" w:val="clear"/>
            <w:vAlign w:val="center"/>
          </w:tcPr>
          <w:p>
            <w:pPr>
              <w:pStyle w:val="TableContents"/>
              <w:spacing w:before="0" w:after="1"/>
              <w:ind w:left="0" w:right="0" w:hanging="0"/>
              <w:jc w:val="right"/>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10,052</w:t>
            </w:r>
          </w:p>
        </w:tc>
        <w:tc>
          <w:tcPr>
            <w:tcW w:w="326" w:type="dxa"/>
            <w:tcBorders/>
            <w:shd w:fill="CCEEFF" w:val="clear"/>
            <w:vAlign w:val="center"/>
          </w:tcPr>
          <w:p>
            <w:pPr>
              <w:pStyle w:val="TableContents"/>
              <w:spacing w:before="0" w:after="1"/>
              <w:ind w:left="0" w:right="0" w:hanging="0"/>
              <w:jc w:val="right"/>
              <w:rPr/>
            </w:pPr>
            <w:r>
              <w:rPr/>
              <w:t> </w:t>
            </w:r>
          </w:p>
        </w:tc>
        <w:tc>
          <w:tcPr>
            <w:tcW w:w="12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141,092</w:t>
            </w:r>
          </w:p>
        </w:tc>
        <w:tc>
          <w:tcPr>
            <w:tcW w:w="326" w:type="dxa"/>
            <w:tcBorders/>
            <w:shd w:fill="CCEEFF" w:val="clear"/>
            <w:vAlign w:val="center"/>
          </w:tcPr>
          <w:p>
            <w:pPr>
              <w:pStyle w:val="TableContents"/>
              <w:spacing w:before="0" w:after="1"/>
              <w:ind w:left="0" w:right="0" w:hanging="0"/>
              <w:jc w:val="right"/>
              <w:rPr/>
            </w:pPr>
            <w:r>
              <w:rPr/>
              <w:t> </w:t>
            </w:r>
          </w:p>
        </w:tc>
        <w:tc>
          <w:tcPr>
            <w:tcW w:w="1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(23,138,518)</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9,944</w:t>
            </w:r>
          </w:p>
        </w:tc>
        <w:tc>
          <w:tcPr>
            <w:tcW w:w="326" w:type="dxa"/>
            <w:tcBorders/>
            <w:shd w:fill="CCEEFF" w:val="clear"/>
            <w:vAlign w:val="center"/>
          </w:tcPr>
          <w:p>
            <w:pPr>
              <w:pStyle w:val="TableContents"/>
              <w:spacing w:before="0" w:after="1"/>
              <w:ind w:left="0" w:right="0" w:hanging="0"/>
              <w:jc w:val="right"/>
              <w:rPr/>
            </w:pPr>
            <w:r>
              <w:rPr/>
              <w:t> </w:t>
            </w:r>
          </w:p>
        </w:tc>
        <w:tc>
          <w:tcPr>
            <w:tcW w:w="11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13,823,692</w:t>
            </w:r>
          </w:p>
        </w:tc>
      </w:tr>
    </w:tbl>
    <w:p>
      <w:pPr>
        <w:pStyle w:val="TextBody"/>
        <w:spacing w:before="0" w:after="240"/>
        <w:ind w:left="0" w:right="0" w:firstLine="720"/>
        <w:rPr/>
      </w:pPr>
      <w:r>
        <w:rPr/>
        <w:t>​</w:t>
      </w:r>
    </w:p>
    <w:p>
      <w:pPr>
        <w:pStyle w:val="TextBody"/>
        <w:spacing w:before="0" w:after="240"/>
        <w:ind w:left="0" w:right="0" w:hanging="0"/>
        <w:rPr/>
      </w:pPr>
      <w:bookmarkStart w:id="1440" w:name="EquityEnd"/>
      <w:bookmarkEnd w:id="1440"/>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b/>
          <w:sz w:val="20"/>
        </w:rPr>
      </w:pPr>
      <w:bookmarkStart w:id="1441" w:name="_176e3785_6bad_4a9a_aa01_97b489f652d2"/>
      <w:bookmarkEnd w:id="1441"/>
      <w:r>
        <w:rPr>
          <w:rFonts w:ascii="Times New Roman;Times;serif" w:hAnsi="Times New Roman;Times;serif"/>
          <w:b/>
          <w:sz w:val="20"/>
        </w:rPr>
        <w:t>DIDI GLOBAL INC.</w:t>
      </w:r>
    </w:p>
    <w:p>
      <w:pPr>
        <w:pStyle w:val="TextBody"/>
        <w:spacing w:before="0" w:after="120"/>
        <w:ind w:left="0" w:right="0" w:hanging="0"/>
        <w:rPr>
          <w:rFonts w:ascii="Times New Roman;Times;serif" w:hAnsi="Times New Roman;Times;serif"/>
          <w:b/>
          <w:sz w:val="20"/>
        </w:rPr>
      </w:pPr>
      <w:bookmarkStart w:id="1442" w:name="CONSOLIDATEDSTATEMENTSOFCASHFLOWS_504920"/>
      <w:bookmarkEnd w:id="1442"/>
      <w:r>
        <w:rPr>
          <w:rFonts w:ascii="Times New Roman;Times;serif" w:hAnsi="Times New Roman;Times;serif"/>
          <w:b/>
          <w:sz w:val="20"/>
        </w:rPr>
        <w:t>CONSOLIDATED STATEMENTS OF CASH FLOWS</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1443" w:name="Tc_jYFFwBguJkuT4SsEblodLg_49_0"/>
      <w:bookmarkStart w:id="1444" w:name="Tc_atZOyyUzu0GTnM86BE6R-w_48_4"/>
      <w:bookmarkStart w:id="1445" w:name="Tc_ZSdQ7iNiIUWTfWw3OaEDOA_48_2"/>
      <w:bookmarkStart w:id="1446" w:name="Tc_qaaAlKGI1kOqIk69jssvaQ_48_0"/>
      <w:bookmarkStart w:id="1447" w:name="Tc_o8ECL6Od60OdzyyFcKAEuw_47_8"/>
      <w:bookmarkStart w:id="1448" w:name="Tc_-ivn8wcrAEmeYrPQyde_Tg_47_6"/>
      <w:bookmarkStart w:id="1449" w:name="Tc_64O9qFYiz0iyc2DsO8ZgMA_47_2"/>
      <w:bookmarkStart w:id="1450" w:name="Tc_086TTRWnQ0eBL5N6UD6fYg_47_0"/>
      <w:bookmarkStart w:id="1451" w:name="Tc_GgK-DZ_ga0KMzt5Nq4fj2w_46_0"/>
      <w:bookmarkStart w:id="1452" w:name="Tc_kYF1Tw6hX06oHQVAzqCKyg_45_0"/>
      <w:bookmarkStart w:id="1453" w:name="Tc_GIV-3Km_lUuFo6HC5GsMTQ_44_2"/>
      <w:bookmarkStart w:id="1454" w:name="Tc_YiWFul6udEe2O0NCxDnmPw_44_0"/>
      <w:bookmarkStart w:id="1455" w:name="Tc_vcauy9adzkWPFKg3dNpcQg_43_2"/>
      <w:bookmarkStart w:id="1456" w:name="Tc_RuPVHwvkXEmu9UXPVy4Svg_43_0"/>
      <w:bookmarkStart w:id="1457" w:name="Tc_5mtG6upef0-Tkjh5Vlma1Q_42_0"/>
      <w:bookmarkStart w:id="1458" w:name="Tc_TCWfTy6kiEWUODuFJv8T9Q_41_0"/>
      <w:bookmarkStart w:id="1459" w:name="Tc_Op2eG_uB9kyCd6AW7zrX8Q_40_0"/>
      <w:bookmarkStart w:id="1460" w:name="Tc_2Aomft8u-EqdKFHUsbBnjw_39_2"/>
      <w:bookmarkStart w:id="1461" w:name="Tc_pS_ylrAw6Ualt9ALtcY-0g_39_0"/>
      <w:bookmarkStart w:id="1462" w:name="Tc_HcBs8ny-FkuqXhBzB8E7Pg_38_0"/>
      <w:bookmarkStart w:id="1463" w:name="Tc_PYr5SQsmx02ujh1alwzwng_37_0"/>
      <w:bookmarkStart w:id="1464" w:name="Tc_pEL45wXaoEWglg3RFNfg2A_36_0"/>
      <w:bookmarkStart w:id="1465" w:name="Tc_fi82ZE-b6E2kOEWwadSjwg_35_0"/>
      <w:bookmarkStart w:id="1466" w:name="Tc_yPba4hyMXk2cdoQnwg_a-g_34_0"/>
      <w:bookmarkStart w:id="1467" w:name="Tc_CQpo27un1Um0ccwDnpS28w_33_0"/>
      <w:bookmarkStart w:id="1468" w:name="Tc_cXd-3NTB-0-McsN9X-2P5g_32_0"/>
      <w:bookmarkStart w:id="1469" w:name="Tc_Q5VFs-ghCUGoZ9M88eeDZw_31_0"/>
      <w:bookmarkStart w:id="1470" w:name="Tc_mwwHxGcer0OOknE9c5xMoQ_30_0"/>
      <w:bookmarkStart w:id="1471" w:name="Tc_IRnm-7lSFk6V2FR5EKD4Uw_29_0"/>
      <w:bookmarkStart w:id="1472" w:name="Tc_Q9xWZEtLOUyI5MSsUvOjkQ_28_0"/>
      <w:bookmarkStart w:id="1473" w:name="Tc_U3EycqHY2UaGB3yXZ5BPYg_27_0"/>
      <w:bookmarkStart w:id="1474" w:name="Tc_yxlecZepdkKKJOwk8PQs_Q_26_0"/>
      <w:bookmarkStart w:id="1475" w:name="Tc_fjjTlbu9e0qbx018KqVNaQ_25_0"/>
      <w:bookmarkStart w:id="1476" w:name="Tc_HKtoUc4EkUaCdBb-zjguXA_24_0"/>
      <w:bookmarkStart w:id="1477" w:name="Tc__EBpsQRGQ06DZSuRhPKOrA_23_0"/>
      <w:bookmarkStart w:id="1478" w:name="Tc_tVZJVPVDnkGSQTlMsPiRfw_22_0"/>
      <w:bookmarkStart w:id="1479" w:name="Tc_onVY-Y4-qUqKVRpfo9jaVQ_21_0"/>
      <w:bookmarkStart w:id="1480" w:name="Tc_97WSPoMSPUS7iMDHA1Abkw_20_0"/>
      <w:bookmarkStart w:id="1481" w:name="Tc_QtfUgre5NUughQgqkmJhwg_19_0"/>
      <w:bookmarkStart w:id="1482" w:name="Tc_0hR2GKQFQ026ZVacbkCCPQ_18_0"/>
      <w:bookmarkStart w:id="1483" w:name="Tc_VdWULipav0uQf2Zs1Ku5Eg_17_0"/>
      <w:bookmarkStart w:id="1484" w:name="Tc_W_BdwnSuhUKTZmZsXiSTjQ_16_0"/>
      <w:bookmarkStart w:id="1485" w:name="Tc_zwfLWqua70yNZtW6v798tA_15_8"/>
      <w:bookmarkStart w:id="1486" w:name="Tc_NHWBF-doRkeHhRMeyh2RpQ_15_6"/>
      <w:bookmarkStart w:id="1487" w:name="Tc_WtE_7C6zdEurO7YyDNUBpg_15_2"/>
      <w:bookmarkStart w:id="1488" w:name="Tc_84LJaXUk_E-YGcSivg9ayA_15_0"/>
      <w:bookmarkStart w:id="1489" w:name="Tc_v7q3KaCjn0iG_St4I2siSw_14_0"/>
      <w:bookmarkStart w:id="1490" w:name="Tc_Puk7YcBL-kirH4-7bwlR2A_13_0"/>
      <w:bookmarkStart w:id="1491" w:name="Tc_HFnUMR-hzUa8efsfQZ5ciw_12_4"/>
      <w:bookmarkStart w:id="1492" w:name="Tc_4fht5G70lEG0QZks0PaUrg_12_0"/>
      <w:bookmarkStart w:id="1493" w:name="Tc_1dq1YjfMaUuZnV-T4hKIHw_11_0"/>
      <w:bookmarkStart w:id="1494" w:name="Tc_5kCa72PKXkiaqklsrQsZlw_10_0"/>
      <w:bookmarkStart w:id="1495" w:name="Tc_rsv7GtwMxUG--UoTn9yRtg_9_0"/>
      <w:bookmarkStart w:id="1496" w:name="Tc_2z3gzqeAtEup4BB1TOM2Kg_8_0"/>
      <w:bookmarkStart w:id="1497" w:name="Tc_pZceKP05GkiyQdbHPcqcbw_7_0"/>
      <w:bookmarkStart w:id="1498" w:name="Tc_iyrl21_TK02xaF4zY3Xf3Q_6_0"/>
      <w:bookmarkStart w:id="1499" w:name="Tc_eD4jyslvBk-v-JrCIDTIKQ_5_0"/>
      <w:bookmarkStart w:id="1500" w:name="Tc_yRUOKHYEJEqsnx8LotilQA_4_8"/>
      <w:bookmarkStart w:id="1501" w:name="Tc_Pbifi2QolUm85zPUizEqRw_3_8"/>
      <w:bookmarkStart w:id="1502" w:name="Tc_eTNGfA8R70if0b7Wp6Oi9Q_3_6"/>
      <w:bookmarkStart w:id="1503" w:name="Tc_IqEvLquJtk-JgJsWlrNJpQ_3_4"/>
      <w:bookmarkStart w:id="1504" w:name="Tc_pvv0e7AQy0-5hvy-VQ4_zg_3_2"/>
      <w:bookmarkStart w:id="1505" w:name="Tc_IF9H__RLikCDp1Rrjhc_Ww_2_8"/>
      <w:bookmarkStart w:id="1506" w:name="Tc_XdD3_1F7S0Od_ff2sP7jXA_2_6"/>
      <w:bookmarkStart w:id="1507" w:name="Tc_33QzD3zppE6ENsT3RvNr1g_2_4"/>
      <w:bookmarkStart w:id="1508" w:name="Tc_liUeZQVCXEGWYaCa0bHRdQ_2_2"/>
      <w:bookmarkStart w:id="1509" w:name="Tc_uWWO7FazOE6HHJLjPyWGkw_1_2"/>
      <w:bookmarkStart w:id="1510" w:name="_55cc7b68_c6b8_44fa_8722_1e9cbd77b047"/>
      <w:bookmarkStart w:id="1511" w:name="Tc_jYFFwBguJkuT4SsEblodLg_49_0"/>
      <w:bookmarkStart w:id="1512" w:name="Tc_atZOyyUzu0GTnM86BE6R-w_48_4"/>
      <w:bookmarkStart w:id="1513" w:name="Tc_ZSdQ7iNiIUWTfWw3OaEDOA_48_2"/>
      <w:bookmarkStart w:id="1514" w:name="Tc_qaaAlKGI1kOqIk69jssvaQ_48_0"/>
      <w:bookmarkStart w:id="1515" w:name="Tc_o8ECL6Od60OdzyyFcKAEuw_47_8"/>
      <w:bookmarkStart w:id="1516" w:name="Tc_-ivn8wcrAEmeYrPQyde_Tg_47_6"/>
      <w:bookmarkStart w:id="1517" w:name="Tc_64O9qFYiz0iyc2DsO8ZgMA_47_2"/>
      <w:bookmarkStart w:id="1518" w:name="Tc_086TTRWnQ0eBL5N6UD6fYg_47_0"/>
      <w:bookmarkStart w:id="1519" w:name="Tc_GgK-DZ_ga0KMzt5Nq4fj2w_46_0"/>
      <w:bookmarkStart w:id="1520" w:name="Tc_kYF1Tw6hX06oHQVAzqCKyg_45_0"/>
      <w:bookmarkStart w:id="1521" w:name="Tc_GIV-3Km_lUuFo6HC5GsMTQ_44_2"/>
      <w:bookmarkStart w:id="1522" w:name="Tc_YiWFul6udEe2O0NCxDnmPw_44_0"/>
      <w:bookmarkStart w:id="1523" w:name="Tc_vcauy9adzkWPFKg3dNpcQg_43_2"/>
      <w:bookmarkStart w:id="1524" w:name="Tc_RuPVHwvkXEmu9UXPVy4Svg_43_0"/>
      <w:bookmarkStart w:id="1525" w:name="Tc_5mtG6upef0-Tkjh5Vlma1Q_42_0"/>
      <w:bookmarkStart w:id="1526" w:name="Tc_TCWfTy6kiEWUODuFJv8T9Q_41_0"/>
      <w:bookmarkStart w:id="1527" w:name="Tc_Op2eG_uB9kyCd6AW7zrX8Q_40_0"/>
      <w:bookmarkStart w:id="1528" w:name="Tc_2Aomft8u-EqdKFHUsbBnjw_39_2"/>
      <w:bookmarkStart w:id="1529" w:name="Tc_pS_ylrAw6Ualt9ALtcY-0g_39_0"/>
      <w:bookmarkStart w:id="1530" w:name="Tc_HcBs8ny-FkuqXhBzB8E7Pg_38_0"/>
      <w:bookmarkStart w:id="1531" w:name="Tc_PYr5SQsmx02ujh1alwzwng_37_0"/>
      <w:bookmarkStart w:id="1532" w:name="Tc_pEL45wXaoEWglg3RFNfg2A_36_0"/>
      <w:bookmarkStart w:id="1533" w:name="Tc_fi82ZE-b6E2kOEWwadSjwg_35_0"/>
      <w:bookmarkStart w:id="1534" w:name="Tc_yPba4hyMXk2cdoQnwg_a-g_34_0"/>
      <w:bookmarkStart w:id="1535" w:name="Tc_CQpo27un1Um0ccwDnpS28w_33_0"/>
      <w:bookmarkStart w:id="1536" w:name="Tc_cXd-3NTB-0-McsN9X-2P5g_32_0"/>
      <w:bookmarkStart w:id="1537" w:name="Tc_Q5VFs-ghCUGoZ9M88eeDZw_31_0"/>
      <w:bookmarkStart w:id="1538" w:name="Tc_mwwHxGcer0OOknE9c5xMoQ_30_0"/>
      <w:bookmarkStart w:id="1539" w:name="Tc_IRnm-7lSFk6V2FR5EKD4Uw_29_0"/>
      <w:bookmarkStart w:id="1540" w:name="Tc_Q9xWZEtLOUyI5MSsUvOjkQ_28_0"/>
      <w:bookmarkStart w:id="1541" w:name="Tc_U3EycqHY2UaGB3yXZ5BPYg_27_0"/>
      <w:bookmarkStart w:id="1542" w:name="Tc_yxlecZepdkKKJOwk8PQs_Q_26_0"/>
      <w:bookmarkStart w:id="1543" w:name="Tc_fjjTlbu9e0qbx018KqVNaQ_25_0"/>
      <w:bookmarkStart w:id="1544" w:name="Tc_HKtoUc4EkUaCdBb-zjguXA_24_0"/>
      <w:bookmarkStart w:id="1545" w:name="Tc__EBpsQRGQ06DZSuRhPKOrA_23_0"/>
      <w:bookmarkStart w:id="1546" w:name="Tc_tVZJVPVDnkGSQTlMsPiRfw_22_0"/>
      <w:bookmarkStart w:id="1547" w:name="Tc_onVY-Y4-qUqKVRpfo9jaVQ_21_0"/>
      <w:bookmarkStart w:id="1548" w:name="Tc_97WSPoMSPUS7iMDHA1Abkw_20_0"/>
      <w:bookmarkStart w:id="1549" w:name="Tc_QtfUgre5NUughQgqkmJhwg_19_0"/>
      <w:bookmarkStart w:id="1550" w:name="Tc_0hR2GKQFQ026ZVacbkCCPQ_18_0"/>
      <w:bookmarkStart w:id="1551" w:name="Tc_VdWULipav0uQf2Zs1Ku5Eg_17_0"/>
      <w:bookmarkStart w:id="1552" w:name="Tc_W_BdwnSuhUKTZmZsXiSTjQ_16_0"/>
      <w:bookmarkStart w:id="1553" w:name="Tc_zwfLWqua70yNZtW6v798tA_15_8"/>
      <w:bookmarkStart w:id="1554" w:name="Tc_NHWBF-doRkeHhRMeyh2RpQ_15_6"/>
      <w:bookmarkStart w:id="1555" w:name="Tc_WtE_7C6zdEurO7YyDNUBpg_15_2"/>
      <w:bookmarkStart w:id="1556" w:name="Tc_84LJaXUk_E-YGcSivg9ayA_15_0"/>
      <w:bookmarkStart w:id="1557" w:name="Tc_v7q3KaCjn0iG_St4I2siSw_14_0"/>
      <w:bookmarkStart w:id="1558" w:name="Tc_Puk7YcBL-kirH4-7bwlR2A_13_0"/>
      <w:bookmarkStart w:id="1559" w:name="Tc_HFnUMR-hzUa8efsfQZ5ciw_12_4"/>
      <w:bookmarkStart w:id="1560" w:name="Tc_4fht5G70lEG0QZks0PaUrg_12_0"/>
      <w:bookmarkStart w:id="1561" w:name="Tc_1dq1YjfMaUuZnV-T4hKIHw_11_0"/>
      <w:bookmarkStart w:id="1562" w:name="Tc_5kCa72PKXkiaqklsrQsZlw_10_0"/>
      <w:bookmarkStart w:id="1563" w:name="Tc_rsv7GtwMxUG--UoTn9yRtg_9_0"/>
      <w:bookmarkStart w:id="1564" w:name="Tc_2z3gzqeAtEup4BB1TOM2Kg_8_0"/>
      <w:bookmarkStart w:id="1565" w:name="Tc_pZceKP05GkiyQdbHPcqcbw_7_0"/>
      <w:bookmarkStart w:id="1566" w:name="Tc_iyrl21_TK02xaF4zY3Xf3Q_6_0"/>
      <w:bookmarkStart w:id="1567" w:name="Tc_eD4jyslvBk-v-JrCIDTIKQ_5_0"/>
      <w:bookmarkStart w:id="1568" w:name="Tc_yRUOKHYEJEqsnx8LotilQA_4_8"/>
      <w:bookmarkStart w:id="1569" w:name="Tc_Pbifi2QolUm85zPUizEqRw_3_8"/>
      <w:bookmarkStart w:id="1570" w:name="Tc_eTNGfA8R70if0b7Wp6Oi9Q_3_6"/>
      <w:bookmarkStart w:id="1571" w:name="Tc_IqEvLquJtk-JgJsWlrNJpQ_3_4"/>
      <w:bookmarkStart w:id="1572" w:name="Tc_pvv0e7AQy0-5hvy-VQ4_zg_3_2"/>
      <w:bookmarkStart w:id="1573" w:name="Tc_IF9H__RLikCDp1Rrjhc_Ww_2_8"/>
      <w:bookmarkStart w:id="1574" w:name="Tc_XdD3_1F7S0Od_ff2sP7jXA_2_6"/>
      <w:bookmarkStart w:id="1575" w:name="Tc_33QzD3zppE6ENsT3RvNr1g_2_4"/>
      <w:bookmarkStart w:id="1576" w:name="Tc_liUeZQVCXEGWYaCa0bHRdQ_2_2"/>
      <w:bookmarkStart w:id="1577" w:name="Tc_uWWO7FazOE6HHJLjPyWGkw_1_2"/>
      <w:bookmarkStart w:id="1578" w:name="_55cc7b68_c6b8_44fa_8722_1e9cbd77b047"/>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tbl>
      <w:tblPr>
        <w:tblW w:w="10205" w:type="dxa"/>
        <w:jc w:val="left"/>
        <w:tblInd w:w="0" w:type="dxa"/>
        <w:tblCellMar>
          <w:top w:w="0" w:type="dxa"/>
          <w:left w:w="0" w:type="dxa"/>
          <w:bottom w:w="0" w:type="dxa"/>
          <w:right w:w="0" w:type="dxa"/>
        </w:tblCellMar>
      </w:tblPr>
      <w:tblGrid>
        <w:gridCol w:w="4873"/>
        <w:gridCol w:w="326"/>
        <w:gridCol w:w="1018"/>
        <w:gridCol w:w="326"/>
        <w:gridCol w:w="1018"/>
        <w:gridCol w:w="326"/>
        <w:gridCol w:w="1018"/>
        <w:gridCol w:w="326"/>
        <w:gridCol w:w="974"/>
      </w:tblGrid>
      <w:tr>
        <w:trPr/>
        <w:tc>
          <w:tcPr>
            <w:tcW w:w="48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094355" cy="175260"/>
                      <wp:effectExtent l="0" t="0" r="0" b="0"/>
                      <wp:wrapNone/>
                      <wp:docPr id="395" name="Frame388"/>
                      <a:graphic xmlns:a="http://schemas.openxmlformats.org/drawingml/2006/main">
                        <a:graphicData uri="http://schemas.microsoft.com/office/word/2010/wordprocessingShape">
                          <wps:wsp>
                            <wps:cNvSpPr txBox="1"/>
                            <wps:spPr>
                              <a:xfrm>
                                <a:off x="0" y="0"/>
                                <a:ext cx="3094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6"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6430" cy="175260"/>
                      <wp:effectExtent l="0" t="0" r="0" b="0"/>
                      <wp:wrapNone/>
                      <wp:docPr id="397" name="Frame390"/>
                      <a:graphic xmlns:a="http://schemas.openxmlformats.org/drawingml/2006/main">
                        <a:graphicData uri="http://schemas.microsoft.com/office/word/2010/wordprocessingShape">
                          <wps:wsp>
                            <wps:cNvSpPr txBox="1"/>
                            <wps:spPr>
                              <a:xfrm>
                                <a:off x="0" y="0"/>
                                <a:ext cx="646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398" name="Frame3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6430" cy="175260"/>
                      <wp:effectExtent l="0" t="0" r="0" b="0"/>
                      <wp:wrapNone/>
                      <wp:docPr id="399" name="Frame392"/>
                      <a:graphic xmlns:a="http://schemas.openxmlformats.org/drawingml/2006/main">
                        <a:graphicData uri="http://schemas.microsoft.com/office/word/2010/wordprocessingShape">
                          <wps:wsp>
                            <wps:cNvSpPr txBox="1"/>
                            <wps:spPr>
                              <a:xfrm>
                                <a:off x="0" y="0"/>
                                <a:ext cx="646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0" name="Frame3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6430" cy="175260"/>
                      <wp:effectExtent l="0" t="0" r="0" b="0"/>
                      <wp:wrapNone/>
                      <wp:docPr id="401" name="Frame394"/>
                      <a:graphic xmlns:a="http://schemas.openxmlformats.org/drawingml/2006/main">
                        <a:graphicData uri="http://schemas.microsoft.com/office/word/2010/wordprocessingShape">
                          <wps:wsp>
                            <wps:cNvSpPr txBox="1"/>
                            <wps:spPr>
                              <a:xfrm>
                                <a:off x="0" y="0"/>
                                <a:ext cx="646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2" name="Frame3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18490" cy="175260"/>
                      <wp:effectExtent l="0" t="0" r="0" b="0"/>
                      <wp:wrapNone/>
                      <wp:docPr id="403" name="Frame396"/>
                      <a:graphic xmlns:a="http://schemas.openxmlformats.org/drawingml/2006/main">
                        <a:graphicData uri="http://schemas.microsoft.com/office/word/2010/wordprocessingShape">
                          <wps:wsp>
                            <wps:cNvSpPr txBox="1"/>
                            <wps:spPr>
                              <a:xfrm>
                                <a:off x="0" y="0"/>
                                <a:ext cx="618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00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8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9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jc w:val="center"/>
              <w:rPr/>
            </w:pPr>
            <w:r>
              <w:rPr/>
              <w:t>​</w:t>
            </w:r>
          </w:p>
        </w:tc>
        <w:tc>
          <w:tcPr>
            <w:tcW w:w="101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1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01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974" w:type="dxa"/>
            <w:tcBorders/>
            <w:shd w:fill="CCEEFF" w:val="clear"/>
            <w:vAlign w:val="center"/>
          </w:tcPr>
          <w:p>
            <w:pPr>
              <w:pStyle w:val="TableContents"/>
              <w:spacing w:before="0" w:after="0"/>
              <w:ind w:left="0" w:right="0" w:hanging="0"/>
              <w:jc w:val="center"/>
              <w:rPr/>
            </w:pPr>
            <w:r>
              <w:rPr/>
              <w:t>​</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(10,607,538)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(49,334,578)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(23,782,511)</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(3,448,140)</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Adjustments to reconcile net loss to net cash provided by (used in) operating activities: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pPr>
            <w:r>
              <w:rPr/>
              <w:t>​</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Share</w:t>
              <w:noBreakHyphen/>
              <w:t>based compensation</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3,413,292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24,654,583</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3,424,049</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496,440</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5,269,089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6,045,283</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5,143,105</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745,680</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Allowances for credit losses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684,795</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1,260,356</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1,062,265</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154,014</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Interest income and investment loss (income), net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(2,634,106)</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263,814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5,524,730</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801,011</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Impairment loss for equity investments accounted for using Measurement Alternative</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1,022,098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18,540</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2,688</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Loss (income) from equity method investments, net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1,057,427</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475,851</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(35,854)</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(5,198)</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Loss (income) on disposal of property and equipment, net and other assets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81,780</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289,677</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(279,920)</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(40,585)</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Impairment of goodwill and intangible assets acquired from business combination</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2,789,321</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pPr>
            <w:r>
              <w:rPr/>
              <w:t>—</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Impairment of property and equipment and other assets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896,071</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2,303,403</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26,801</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3,886</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(473,704)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(391,477)</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(166,176)</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(24,093)</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exchange loss (gain)</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(1,055,139)</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(116,289)</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1,406,338</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203,900</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Accretion of discount on short</w:t>
              <w:noBreakHyphen/>
              <w:t>term and long</w:t>
              <w:noBreakHyphen/>
              <w:t>term borrowings and others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52,759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114,864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83,677</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12,132</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Changes in operating assets and liabilities: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pPr>
            <w:r>
              <w:rPr/>
              <w:t>​</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receivable</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(477,036)</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(713,034)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(239,034)</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(34,657)</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Amounts due from related parties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(59,699)</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68,372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53,184</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7,711</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Prepayments, receivables and other current assets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(903,360)</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(777,739)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(33,803)</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(4,901)</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right</w:t>
              <w:noBreakHyphen/>
              <w:t>of</w:t>
              <w:noBreakHyphen/>
              <w:t>use assets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(507,201)</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96,318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(62,176)</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(9,015)</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non</w:t>
              <w:noBreakHyphen/>
              <w:t>current assets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112,286</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(1,152,538)</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356,352</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51,666</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payable</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1,225,952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(1,080,270)</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(1,164,397)</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(168,822)</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Amounts due to related parties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194,498</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(42,561)</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(11,453)</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(1,661)</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 and customer advances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195,672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(366,141)</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19,055</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2,763</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3,141,307</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2,343,141</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(989,727)</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(143,497)</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484,165</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(139,512)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45,468</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6,592</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non</w:t>
              <w:noBreakHyphen/>
              <w:t>current liabilities</w:t>
            </w:r>
          </w:p>
        </w:tc>
        <w:tc>
          <w:tcPr>
            <w:tcW w:w="326" w:type="dxa"/>
            <w:tcBorders/>
            <w:shd w:fill="CCEEFF" w:val="clear"/>
            <w:vAlign w:val="center"/>
          </w:tcPr>
          <w:p>
            <w:pPr>
              <w:pStyle w:val="TableContents"/>
              <w:spacing w:before="0" w:after="0"/>
              <w:ind w:left="0" w:right="0" w:hanging="0"/>
              <w:rPr/>
            </w:pPr>
            <w:r>
              <w:rPr/>
              <w:t> </w:t>
            </w:r>
          </w:p>
        </w:tc>
        <w:tc>
          <w:tcPr>
            <w:tcW w:w="10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24,214</w:t>
            </w:r>
          </w:p>
        </w:tc>
        <w:tc>
          <w:tcPr>
            <w:tcW w:w="326" w:type="dxa"/>
            <w:tcBorders/>
            <w:shd w:fill="CCEEFF" w:val="clear"/>
            <w:vAlign w:val="center"/>
          </w:tcPr>
          <w:p>
            <w:pPr>
              <w:pStyle w:val="TableContents"/>
              <w:spacing w:before="0" w:after="0"/>
              <w:ind w:left="0" w:right="0" w:hanging="0"/>
              <w:rPr/>
            </w:pPr>
            <w:r>
              <w:rPr/>
              <w:t> </w:t>
            </w:r>
          </w:p>
        </w:tc>
        <w:tc>
          <w:tcPr>
            <w:tcW w:w="10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(4,704)</w:t>
            </w:r>
          </w:p>
        </w:tc>
        <w:tc>
          <w:tcPr>
            <w:tcW w:w="326" w:type="dxa"/>
            <w:tcBorders/>
            <w:shd w:fill="CCEEFF" w:val="clear"/>
            <w:vAlign w:val="center"/>
          </w:tcPr>
          <w:p>
            <w:pPr>
              <w:pStyle w:val="TableContents"/>
              <w:spacing w:before="0" w:after="0"/>
              <w:ind w:left="0" w:right="0" w:hanging="0"/>
              <w:rPr/>
            </w:pPr>
            <w:r>
              <w:rPr/>
              <w:t> </w:t>
            </w:r>
          </w:p>
        </w:tc>
        <w:tc>
          <w:tcPr>
            <w:tcW w:w="10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47,178</w:t>
            </w:r>
          </w:p>
        </w:tc>
        <w:tc>
          <w:tcPr>
            <w:tcW w:w="326" w:type="dxa"/>
            <w:tcBorders/>
            <w:shd w:fill="CCEEFF" w:val="clear"/>
            <w:vAlign w:val="center"/>
          </w:tcPr>
          <w:p>
            <w:pPr>
              <w:pStyle w:val="TableContents"/>
              <w:spacing w:before="0" w:after="0"/>
              <w:ind w:left="0" w:right="0" w:hanging="0"/>
              <w:rPr/>
            </w:pPr>
            <w:r>
              <w:rPr/>
              <w:t> </w:t>
            </w:r>
          </w:p>
        </w:tc>
        <w:tc>
          <w:tcPr>
            <w:tcW w:w="9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6,840</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auto" w:val="clear"/>
            <w:vAlign w:val="center"/>
          </w:tcPr>
          <w:p>
            <w:pPr>
              <w:pStyle w:val="TableContents"/>
              <w:spacing w:before="0" w:after="0"/>
              <w:ind w:left="0" w:right="0" w:hanging="0"/>
              <w:rPr/>
            </w:pPr>
            <w:r>
              <w:rPr/>
              <w:t> </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1,137,622</w:t>
            </w:r>
          </w:p>
        </w:tc>
        <w:tc>
          <w:tcPr>
            <w:tcW w:w="326" w:type="dxa"/>
            <w:tcBorders/>
            <w:shd w:fill="auto" w:val="clear"/>
            <w:vAlign w:val="center"/>
          </w:tcPr>
          <w:p>
            <w:pPr>
              <w:pStyle w:val="TableContents"/>
              <w:spacing w:before="0" w:after="0"/>
              <w:ind w:left="0" w:right="0" w:hanging="0"/>
              <w:rPr/>
            </w:pPr>
            <w:r>
              <w:rPr/>
              <w:t> </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(13,413,860)</w:t>
            </w:r>
          </w:p>
        </w:tc>
        <w:tc>
          <w:tcPr>
            <w:tcW w:w="326" w:type="dxa"/>
            <w:tcBorders/>
            <w:shd w:fill="auto" w:val="clear"/>
            <w:vAlign w:val="center"/>
          </w:tcPr>
          <w:p>
            <w:pPr>
              <w:pStyle w:val="TableContents"/>
              <w:spacing w:before="0" w:after="0"/>
              <w:ind w:left="0" w:right="0" w:hanging="0"/>
              <w:rPr/>
            </w:pPr>
            <w:r>
              <w:rPr/>
              <w:t> </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(9,554,309)</w:t>
            </w:r>
          </w:p>
        </w:tc>
        <w:tc>
          <w:tcPr>
            <w:tcW w:w="326" w:type="dxa"/>
            <w:tcBorders/>
            <w:shd w:fill="auto" w:val="clear"/>
            <w:vAlign w:val="center"/>
          </w:tcPr>
          <w:p>
            <w:pPr>
              <w:pStyle w:val="TableContents"/>
              <w:spacing w:before="0" w:after="0"/>
              <w:ind w:left="0" w:right="0" w:hanging="0"/>
              <w:rPr/>
            </w:pPr>
            <w:r>
              <w:rPr/>
              <w:t> </w:t>
            </w:r>
          </w:p>
        </w:tc>
        <w:tc>
          <w:tcPr>
            <w:tcW w:w="9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(1,385,246)</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pPr>
            <w:r>
              <w:rPr/>
              <w:t>​</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Purchase of property and equipment and intangible assets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(5,799,097)</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(6,620,191)</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(2,553,788)</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(370,264)</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Proceeds from disposal of property and equipment and intangible assets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8,950</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187,259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698,263</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101,239</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Purchase of long</w:t>
              <w:noBreakHyphen/>
              <w:t>term investments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(775,455)</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(2,006,985)</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(109,101)</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(15,818)</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Proceeds from disposal of long</w:t>
              <w:noBreakHyphen/>
              <w:t>term investments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45,828</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3,381,019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84,865</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12,304</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Purchase of long-term time deposits and debt investments started as amortised cost</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(2,974,779)</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(1,105,400)</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(7,752,153)</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(1,123,957)</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Purchase of other investment securities</w:t>
            </w:r>
          </w:p>
        </w:tc>
        <w:tc>
          <w:tcPr>
            <w:tcW w:w="326" w:type="dxa"/>
            <w:tcBorders/>
            <w:shd w:fill="CCEEFF" w:val="clear"/>
            <w:vAlign w:val="center"/>
          </w:tcPr>
          <w:p>
            <w:pPr>
              <w:pStyle w:val="TableContents"/>
              <w:spacing w:before="0" w:after="0"/>
              <w:ind w:left="0" w:right="0" w:hanging="0"/>
              <w:rPr/>
            </w:pPr>
            <w:r>
              <w:rPr/>
              <w:t>​</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(20,408,593)</w:t>
            </w:r>
          </w:p>
        </w:tc>
        <w:tc>
          <w:tcPr>
            <w:tcW w:w="326" w:type="dxa"/>
            <w:tcBorders/>
            <w:shd w:fill="CCEEFF" w:val="clear"/>
            <w:vAlign w:val="center"/>
          </w:tcPr>
          <w:p>
            <w:pPr>
              <w:pStyle w:val="TableContents"/>
              <w:spacing w:before="0" w:after="0"/>
              <w:ind w:left="0" w:right="0" w:hanging="0"/>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(2,139,063)</w:t>
            </w:r>
          </w:p>
        </w:tc>
        <w:tc>
          <w:tcPr>
            <w:tcW w:w="326" w:type="dxa"/>
            <w:tcBorders/>
            <w:shd w:fill="CCEEFF" w:val="clear"/>
            <w:vAlign w:val="center"/>
          </w:tcPr>
          <w:p>
            <w:pPr>
              <w:pStyle w:val="TableContents"/>
              <w:spacing w:before="0" w:after="0"/>
              <w:ind w:left="0" w:right="0" w:hanging="0"/>
              <w:rPr/>
            </w:pPr>
            <w:r>
              <w:rPr/>
              <w:t>​</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(310,135)</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Proceeds from disposal of investment securities and other investments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6,740,451</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88,868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599,258</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86,884</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Purchase of short</w:t>
              <w:noBreakHyphen/>
              <w:t>term investments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(68,645,911)</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(12,945,705)</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(25,689,003)</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(3,724,555)</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Proceeds from maturities of short</w:t>
              <w:noBreakHyphen/>
              <w:t>term investments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71,021,617</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37,778,943</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25,165,694</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3,648,683</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receivable originated from related parties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(389,988)</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(34,500)</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(5,002)</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received from loan repayments of related parties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6,106,358</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1,515</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Loan receivable originated from third parties</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(6,496,009)</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(15,063,874)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(14,683,006)</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(2,128,836)</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received from loan repayments of third parties</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4,928,082</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12,736,307</w:t>
            </w:r>
          </w:p>
        </w:tc>
        <w:tc>
          <w:tcPr>
            <w:tcW w:w="326" w:type="dxa"/>
            <w:tcBorders/>
            <w:shd w:fill="auto" w:val="clear"/>
            <w:vAlign w:val="center"/>
          </w:tcPr>
          <w:p>
            <w:pPr>
              <w:pStyle w:val="TableContents"/>
              <w:spacing w:before="0" w:after="0"/>
              <w:ind w:left="0" w:right="0" w:hanging="0"/>
              <w:rPr/>
            </w:pPr>
            <w:r>
              <w:rPr/>
              <w:t> </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13,568,733</w:t>
            </w:r>
          </w:p>
        </w:tc>
        <w:tc>
          <w:tcPr>
            <w:tcW w:w="326" w:type="dxa"/>
            <w:tcBorders/>
            <w:shd w:fill="auto" w:val="clear"/>
            <w:vAlign w:val="center"/>
          </w:tcPr>
          <w:p>
            <w:pPr>
              <w:pStyle w:val="TableContents"/>
              <w:spacing w:before="0" w:after="0"/>
              <w:ind w:left="0" w:right="0" w:hanging="0"/>
              <w:rPr/>
            </w:pPr>
            <w:r>
              <w:rPr/>
              <w:t> </w:t>
            </w:r>
          </w:p>
        </w:tc>
        <w:tc>
          <w:tcPr>
            <w:tcW w:w="97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1,967,281</w:t>
            </w:r>
          </w:p>
        </w:tc>
      </w:tr>
      <w:tr>
        <w:trPr/>
        <w:tc>
          <w:tcPr>
            <w:tcW w:w="4873"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De-consolidation of Chengxin</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(593,334)</w:t>
            </w:r>
          </w:p>
        </w:tc>
        <w:tc>
          <w:tcPr>
            <w:tcW w:w="326" w:type="dxa"/>
            <w:tcBorders/>
            <w:shd w:fill="CCEEFF" w:val="clear"/>
            <w:vAlign w:val="center"/>
          </w:tcPr>
          <w:p>
            <w:pPr>
              <w:pStyle w:val="TableContents"/>
              <w:spacing w:before="0" w:after="0"/>
              <w:ind w:left="0" w:right="0" w:hanging="0"/>
              <w:rPr/>
            </w:pPr>
            <w:r>
              <w:rPr/>
              <w:t> </w:t>
            </w:r>
          </w:p>
        </w:tc>
        <w:tc>
          <w:tcPr>
            <w:tcW w:w="101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4" w:type="dxa"/>
            <w:tcBorders/>
            <w:shd w:fill="CCEEFF" w:val="clear"/>
            <w:vAlign w:val="center"/>
          </w:tcPr>
          <w:p>
            <w:pPr>
              <w:pStyle w:val="TableContents"/>
              <w:spacing w:before="0" w:after="0"/>
              <w:ind w:left="0" w:right="0" w:hanging="0"/>
              <w:jc w:val="right"/>
              <w:rPr/>
            </w:pPr>
            <w:r>
              <w:rPr/>
              <w:t>—</w:t>
            </w:r>
          </w:p>
        </w:tc>
      </w:tr>
      <w:tr>
        <w:trPr/>
        <w:tc>
          <w:tcPr>
            <w:tcW w:w="4873"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proceeds from distribution of Chengxin</w:t>
            </w:r>
          </w:p>
        </w:tc>
        <w:tc>
          <w:tcPr>
            <w:tcW w:w="326" w:type="dxa"/>
            <w:tcBorders/>
            <w:shd w:fill="auto" w:val="clear"/>
            <w:vAlign w:val="center"/>
          </w:tcPr>
          <w:p>
            <w:pPr>
              <w:pStyle w:val="TableContents"/>
              <w:spacing w:before="0" w:after="0"/>
              <w:ind w:left="0" w:right="0" w:hanging="0"/>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1,814,176</w:t>
            </w:r>
          </w:p>
        </w:tc>
        <w:tc>
          <w:tcPr>
            <w:tcW w:w="326" w:type="dxa"/>
            <w:tcBorders/>
            <w:shd w:fill="auto" w:val="clear"/>
            <w:vAlign w:val="center"/>
          </w:tcPr>
          <w:p>
            <w:pPr>
              <w:pStyle w:val="TableContents"/>
              <w:spacing w:before="0" w:after="0"/>
              <w:ind w:left="0" w:right="0" w:hanging="0"/>
              <w:rPr/>
            </w:pPr>
            <w:r>
              <w:rPr/>
              <w:t>​</w:t>
            </w:r>
          </w:p>
        </w:tc>
        <w:tc>
          <w:tcPr>
            <w:tcW w:w="9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263,031</w:t>
            </w:r>
          </w:p>
        </w:tc>
      </w:tr>
      <w:tr>
        <w:trPr/>
        <w:tc>
          <w:tcPr>
            <w:tcW w:w="4873"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spacing w:before="0" w:after="0"/>
              <w:ind w:left="0" w:right="0" w:hanging="0"/>
              <w:rPr/>
            </w:pPr>
            <w:r>
              <w:rPr/>
              <w:t>​</w:t>
            </w:r>
          </w:p>
        </w:tc>
        <w:tc>
          <w:tcPr>
            <w:tcW w:w="101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(1,946,323)</w:t>
            </w:r>
          </w:p>
        </w:tc>
        <w:tc>
          <w:tcPr>
            <w:tcW w:w="326" w:type="dxa"/>
            <w:tcBorders/>
            <w:shd w:fill="CCEEFF" w:val="clear"/>
            <w:vAlign w:val="center"/>
          </w:tcPr>
          <w:p>
            <w:pPr>
              <w:pStyle w:val="TableContents"/>
              <w:spacing w:before="0" w:after="0"/>
              <w:ind w:left="0" w:right="0" w:hanging="0"/>
              <w:rPr/>
            </w:pPr>
            <w:r>
              <w:rPr/>
              <w:t>​</w:t>
            </w:r>
          </w:p>
        </w:tc>
        <w:tc>
          <w:tcPr>
            <w:tcW w:w="101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1,144,684</w:t>
            </w:r>
          </w:p>
        </w:tc>
        <w:tc>
          <w:tcPr>
            <w:tcW w:w="326" w:type="dxa"/>
            <w:tcBorders/>
            <w:shd w:fill="CCEEFF" w:val="clear"/>
            <w:vAlign w:val="center"/>
          </w:tcPr>
          <w:p>
            <w:pPr>
              <w:pStyle w:val="TableContents"/>
              <w:spacing w:before="0" w:after="0"/>
              <w:ind w:left="0" w:right="0" w:hanging="0"/>
              <w:rPr/>
            </w:pPr>
            <w:r>
              <w:rPr/>
              <w:t>​</w:t>
            </w:r>
          </w:p>
        </w:tc>
        <w:tc>
          <w:tcPr>
            <w:tcW w:w="101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(11,028,110)</w:t>
            </w:r>
          </w:p>
        </w:tc>
        <w:tc>
          <w:tcPr>
            <w:tcW w:w="326" w:type="dxa"/>
            <w:tcBorders/>
            <w:shd w:fill="CCEEFF" w:val="clear"/>
            <w:vAlign w:val="center"/>
          </w:tcPr>
          <w:p>
            <w:pPr>
              <w:pStyle w:val="TableContents"/>
              <w:spacing w:before="0" w:after="0"/>
              <w:ind w:left="0" w:right="0" w:hanging="0"/>
              <w:rPr/>
            </w:pPr>
            <w:r>
              <w:rPr/>
              <w:t>​</w:t>
            </w:r>
          </w:p>
        </w:tc>
        <w:tc>
          <w:tcPr>
            <w:tcW w:w="97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(1,598,925)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(Amounts in thousands, except for share and per share data)</w:t>
      </w:r>
    </w:p>
    <w:p>
      <w:pPr>
        <w:pStyle w:val="Normal"/>
        <w:spacing w:before="0" w:after="0"/>
        <w:rPr>
          <w:sz w:val="4"/>
          <w:szCs w:val="4"/>
        </w:rPr>
      </w:pPr>
      <w:r>
        <w:rPr>
          <w:sz w:val="4"/>
          <w:szCs w:val="4"/>
        </w:rPr>
      </w:r>
      <w:bookmarkStart w:id="1579" w:name="Tc_b-_UoMbtjUubk0CFYm6TyA_29_0"/>
      <w:bookmarkStart w:id="1580" w:name="Tc__T7Rv0wmgE6MqiaNBiMBPA_28_0"/>
      <w:bookmarkStart w:id="1581" w:name="Tc_Gc4Z7zr4E0eGatTRA7019A_27_0"/>
      <w:bookmarkStart w:id="1582" w:name="Tc_HYMCEqJ40kWGLBFzQ22ErA_26_0"/>
      <w:bookmarkStart w:id="1583" w:name="Tc_G0-CSelZ7E2CAqj3MD5x8w_25_0"/>
      <w:bookmarkStart w:id="1584" w:name="Tc_lXGVBZ-zLkqfjTtXkKdldg_24_0"/>
      <w:bookmarkStart w:id="1585" w:name="Tc_BczO2c2Sjk6CmbBNDfXrdw_23_0"/>
      <w:bookmarkStart w:id="1586" w:name="Tc_12vSwRPKr0i9slvcBTTMgg_22_0"/>
      <w:bookmarkStart w:id="1587" w:name="Tc_sl2e3fhqdkaV5hlJnlv7gQ_21_0"/>
      <w:bookmarkStart w:id="1588" w:name="Tc_EIZBcjFpd0udra3jj-7Dhg_20_0"/>
      <w:bookmarkStart w:id="1589" w:name="Tc_jJZyUlS6Q0mApNh1-SQhvQ_19_0"/>
      <w:bookmarkStart w:id="1590" w:name="Tc_Mwgq0p1TAU6yO6gAStGwhA_18_0"/>
      <w:bookmarkStart w:id="1591" w:name="Tc_dVzjm3R-WEy0zyIQNwj6uA_17_0"/>
      <w:bookmarkStart w:id="1592" w:name="Tc_hpKUMY5xvUebB10JEWZHXg_16_0"/>
      <w:bookmarkStart w:id="1593" w:name="Tc_6UBX9bbK-Ue5HlONM8v0bQ_15_0"/>
      <w:bookmarkStart w:id="1594" w:name="Tc_W4GWP2WvMEaOwKvvB1--Fg_14_0"/>
      <w:bookmarkStart w:id="1595" w:name="Tc_mFMVnn3l60GdCS1ApD093A_13_4"/>
      <w:bookmarkStart w:id="1596" w:name="Tc_y7_0yltrlkeXcOf7jkDM-Q_13_2"/>
      <w:bookmarkStart w:id="1597" w:name="Tc_KC1KIoxP1UeyFa92O5r6PA_13_0"/>
      <w:bookmarkStart w:id="1598" w:name="Tc_2LRE3dpdD063jGbkcupJiA_12_0"/>
      <w:bookmarkStart w:id="1599" w:name="Tc_lFtI0qlCj0Kq6gTTYyF3eQ_11_8"/>
      <w:bookmarkStart w:id="1600" w:name="Tc_bjq1QCheYUKTFEnr4nZrTg_11_6"/>
      <w:bookmarkStart w:id="1601" w:name="Tc_jhPQJEZra0yIRfO6y8hqxA_11_0"/>
      <w:bookmarkStart w:id="1602" w:name="Tc_e3gRd4jXWECfP_otVedkig_10_8"/>
      <w:bookmarkStart w:id="1603" w:name="Tc_48sBuvdDlUCZ1TuAAd6QGg_10_6"/>
      <w:bookmarkStart w:id="1604" w:name="Tc_2hdaVS_el0m8NHKJVe9Csg_10_0"/>
      <w:bookmarkStart w:id="1605" w:name="Tc_C-zv6Vm2CE6JJhZJGFkK7A_9_8"/>
      <w:bookmarkStart w:id="1606" w:name="Tc_lT7wDUcfr0G0S21R66Q4tw_9_6"/>
      <w:bookmarkStart w:id="1607" w:name="Tc_pI95erUvm0uDbNRxo96B8Q_9_2"/>
      <w:bookmarkStart w:id="1608" w:name="Tc_ZHWzAjIV1UKBkNM6mcBnnA_9_0"/>
      <w:bookmarkStart w:id="1609" w:name="Tc_G2QWLCctqE-V5PewfY-XHw_8_2"/>
      <w:bookmarkStart w:id="1610" w:name="Tc_O8A4-mvaYkCqsr8nX4_9Kg_8_0"/>
      <w:bookmarkStart w:id="1611" w:name="Tc_h_a3_yf-G02k5Nn8sPsNmg_7_0"/>
      <w:bookmarkStart w:id="1612" w:name="Tc_0TNMq78YhUOw3WTOoP0LEA_6_0"/>
      <w:bookmarkStart w:id="1613" w:name="Tc_PNf0dHoIW0Wh6IKWOwI4yg_5_0"/>
      <w:bookmarkStart w:id="1614" w:name="Tc_sX8o67hkZ0ycYPGrSWwcpA_4_8"/>
      <w:bookmarkStart w:id="1615" w:name="Tc_l-89JvQn0UagwoPXelQCmA_3_8"/>
      <w:bookmarkStart w:id="1616" w:name="Tc_Aln3JGJRB0mk8Zul83XS-g_3_6"/>
      <w:bookmarkStart w:id="1617" w:name="Tc_VMEX7JrLc0Otc81fqSZ95g_3_4"/>
      <w:bookmarkStart w:id="1618" w:name="Tc_0hdK5Z9iI06LCK6MHphT4w_3_2"/>
      <w:bookmarkStart w:id="1619" w:name="Tc_s6FQxUgwVkWN-mBmmPdv5Q_2_8"/>
      <w:bookmarkStart w:id="1620" w:name="Tc_KjT6L3ji5kmnlxud1dMBBA_2_6"/>
      <w:bookmarkStart w:id="1621" w:name="Tc_eFUa2xke2UeZjvmylevgcw_2_4"/>
      <w:bookmarkStart w:id="1622" w:name="Tc_GTtXtA2gSkuukB963mVAJA_2_2"/>
      <w:bookmarkStart w:id="1623" w:name="Tc_WQzkWQEqkU-b21ypbv27qA_1_2"/>
      <w:bookmarkStart w:id="1624" w:name="_64c2015b_3290_418e_b44e_08e79304b520"/>
      <w:bookmarkStart w:id="1625" w:name="Tc_b-_UoMbtjUubk0CFYm6TyA_29_0"/>
      <w:bookmarkStart w:id="1626" w:name="Tc__T7Rv0wmgE6MqiaNBiMBPA_28_0"/>
      <w:bookmarkStart w:id="1627" w:name="Tc_Gc4Z7zr4E0eGatTRA7019A_27_0"/>
      <w:bookmarkStart w:id="1628" w:name="Tc_HYMCEqJ40kWGLBFzQ22ErA_26_0"/>
      <w:bookmarkStart w:id="1629" w:name="Tc_G0-CSelZ7E2CAqj3MD5x8w_25_0"/>
      <w:bookmarkStart w:id="1630" w:name="Tc_lXGVBZ-zLkqfjTtXkKdldg_24_0"/>
      <w:bookmarkStart w:id="1631" w:name="Tc_BczO2c2Sjk6CmbBNDfXrdw_23_0"/>
      <w:bookmarkStart w:id="1632" w:name="Tc_12vSwRPKr0i9slvcBTTMgg_22_0"/>
      <w:bookmarkStart w:id="1633" w:name="Tc_sl2e3fhqdkaV5hlJnlv7gQ_21_0"/>
      <w:bookmarkStart w:id="1634" w:name="Tc_EIZBcjFpd0udra3jj-7Dhg_20_0"/>
      <w:bookmarkStart w:id="1635" w:name="Tc_jJZyUlS6Q0mApNh1-SQhvQ_19_0"/>
      <w:bookmarkStart w:id="1636" w:name="Tc_Mwgq0p1TAU6yO6gAStGwhA_18_0"/>
      <w:bookmarkStart w:id="1637" w:name="Tc_dVzjm3R-WEy0zyIQNwj6uA_17_0"/>
      <w:bookmarkStart w:id="1638" w:name="Tc_hpKUMY5xvUebB10JEWZHXg_16_0"/>
      <w:bookmarkStart w:id="1639" w:name="Tc_6UBX9bbK-Ue5HlONM8v0bQ_15_0"/>
      <w:bookmarkStart w:id="1640" w:name="Tc_W4GWP2WvMEaOwKvvB1--Fg_14_0"/>
      <w:bookmarkStart w:id="1641" w:name="Tc_mFMVnn3l60GdCS1ApD093A_13_4"/>
      <w:bookmarkStart w:id="1642" w:name="Tc_y7_0yltrlkeXcOf7jkDM-Q_13_2"/>
      <w:bookmarkStart w:id="1643" w:name="Tc_KC1KIoxP1UeyFa92O5r6PA_13_0"/>
      <w:bookmarkStart w:id="1644" w:name="Tc_2LRE3dpdD063jGbkcupJiA_12_0"/>
      <w:bookmarkStart w:id="1645" w:name="Tc_lFtI0qlCj0Kq6gTTYyF3eQ_11_8"/>
      <w:bookmarkStart w:id="1646" w:name="Tc_bjq1QCheYUKTFEnr4nZrTg_11_6"/>
      <w:bookmarkStart w:id="1647" w:name="Tc_jhPQJEZra0yIRfO6y8hqxA_11_0"/>
      <w:bookmarkStart w:id="1648" w:name="Tc_e3gRd4jXWECfP_otVedkig_10_8"/>
      <w:bookmarkStart w:id="1649" w:name="Tc_48sBuvdDlUCZ1TuAAd6QGg_10_6"/>
      <w:bookmarkStart w:id="1650" w:name="Tc_2hdaVS_el0m8NHKJVe9Csg_10_0"/>
      <w:bookmarkStart w:id="1651" w:name="Tc_C-zv6Vm2CE6JJhZJGFkK7A_9_8"/>
      <w:bookmarkStart w:id="1652" w:name="Tc_lT7wDUcfr0G0S21R66Q4tw_9_6"/>
      <w:bookmarkStart w:id="1653" w:name="Tc_pI95erUvm0uDbNRxo96B8Q_9_2"/>
      <w:bookmarkStart w:id="1654" w:name="Tc_ZHWzAjIV1UKBkNM6mcBnnA_9_0"/>
      <w:bookmarkStart w:id="1655" w:name="Tc_G2QWLCctqE-V5PewfY-XHw_8_2"/>
      <w:bookmarkStart w:id="1656" w:name="Tc_O8A4-mvaYkCqsr8nX4_9Kg_8_0"/>
      <w:bookmarkStart w:id="1657" w:name="Tc_h_a3_yf-G02k5Nn8sPsNmg_7_0"/>
      <w:bookmarkStart w:id="1658" w:name="Tc_0TNMq78YhUOw3WTOoP0LEA_6_0"/>
      <w:bookmarkStart w:id="1659" w:name="Tc_PNf0dHoIW0Wh6IKWOwI4yg_5_0"/>
      <w:bookmarkStart w:id="1660" w:name="Tc_sX8o67hkZ0ycYPGrSWwcpA_4_8"/>
      <w:bookmarkStart w:id="1661" w:name="Tc_l-89JvQn0UagwoPXelQCmA_3_8"/>
      <w:bookmarkStart w:id="1662" w:name="Tc_Aln3JGJRB0mk8Zul83XS-g_3_6"/>
      <w:bookmarkStart w:id="1663" w:name="Tc_VMEX7JrLc0Otc81fqSZ95g_3_4"/>
      <w:bookmarkStart w:id="1664" w:name="Tc_0hdK5Z9iI06LCK6MHphT4w_3_2"/>
      <w:bookmarkStart w:id="1665" w:name="Tc_s6FQxUgwVkWN-mBmmPdv5Q_2_8"/>
      <w:bookmarkStart w:id="1666" w:name="Tc_KjT6L3ji5kmnlxud1dMBBA_2_6"/>
      <w:bookmarkStart w:id="1667" w:name="Tc_eFUa2xke2UeZjvmylevgcw_2_4"/>
      <w:bookmarkStart w:id="1668" w:name="Tc_GTtXtA2gSkuukB963mVAJA_2_2"/>
      <w:bookmarkStart w:id="1669" w:name="Tc_WQzkWQEqkU-b21ypbv27qA_1_2"/>
      <w:bookmarkStart w:id="1670" w:name="_64c2015b_3290_418e_b44e_08e79304b520"/>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p>
    <w:tbl>
      <w:tblPr>
        <w:tblW w:w="10205" w:type="dxa"/>
        <w:jc w:val="left"/>
        <w:tblInd w:w="0" w:type="dxa"/>
        <w:tblCellMar>
          <w:top w:w="0" w:type="dxa"/>
          <w:left w:w="0" w:type="dxa"/>
          <w:bottom w:w="0" w:type="dxa"/>
          <w:right w:w="0" w:type="dxa"/>
        </w:tblCellMar>
      </w:tblPr>
      <w:tblGrid>
        <w:gridCol w:w="5091"/>
        <w:gridCol w:w="326"/>
        <w:gridCol w:w="916"/>
        <w:gridCol w:w="326"/>
        <w:gridCol w:w="930"/>
        <w:gridCol w:w="326"/>
        <w:gridCol w:w="1004"/>
        <w:gridCol w:w="326"/>
        <w:gridCol w:w="960"/>
      </w:tblGrid>
      <w:tr>
        <w:trPr/>
        <w:tc>
          <w:tcPr>
            <w:tcW w:w="5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232785" cy="175260"/>
                      <wp:effectExtent l="0" t="0" r="0" b="0"/>
                      <wp:wrapNone/>
                      <wp:docPr id="404" name="Frame397"/>
                      <a:graphic xmlns:a="http://schemas.openxmlformats.org/drawingml/2006/main">
                        <a:graphicData uri="http://schemas.microsoft.com/office/word/2010/wordprocessingShape">
                          <wps:wsp>
                            <wps:cNvSpPr txBox="1"/>
                            <wps:spPr>
                              <a:xfrm>
                                <a:off x="0" y="0"/>
                                <a:ext cx="323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5" name="Frame3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81660" cy="175260"/>
                      <wp:effectExtent l="0" t="0" r="0" b="0"/>
                      <wp:wrapNone/>
                      <wp:docPr id="406" name="Frame39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7" name="Frame4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90550" cy="175260"/>
                      <wp:effectExtent l="0" t="0" r="0" b="0"/>
                      <wp:wrapNone/>
                      <wp:docPr id="408" name="Frame401"/>
                      <a:graphic xmlns:a="http://schemas.openxmlformats.org/drawingml/2006/main">
                        <a:graphicData uri="http://schemas.microsoft.com/office/word/2010/wordprocessingShape">
                          <wps:wsp>
                            <wps:cNvSpPr txBox="1"/>
                            <wps:spPr>
                              <a:xfrm>
                                <a:off x="0" y="0"/>
                                <a:ext cx="590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09"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37540" cy="175260"/>
                      <wp:effectExtent l="0" t="0" r="0" b="0"/>
                      <wp:wrapNone/>
                      <wp:docPr id="410" name="Frame403"/>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1" name="Frame4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09600" cy="175260"/>
                      <wp:effectExtent l="0" t="0" r="0" b="0"/>
                      <wp:wrapNone/>
                      <wp:docPr id="412" name="Frame405"/>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788"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93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0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3.6)</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pPr>
            <w:r>
              <w:rPr/>
              <w:t>  </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short-term borrowings and long</w:t>
              <w:noBreakHyphen/>
              <w:t>term borrowings</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7,009,277</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7,871,821</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3,821,492</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554,064</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Repayments of short-term borrowings and long</w:t>
              <w:noBreakHyphen/>
              <w:t>term borrowings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(976,886)</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(7,235,716)</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(7,026,465)</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(1,018,742)</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Repurchase of non-controlling interest and convertible redeemable non-controlling interest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(141,889)</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(20,572)</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issuance of ordinary shares upon initial public offering, net of issuance cost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28,033,106</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pPr>
            <w:r>
              <w:rPr/>
              <w:t>—</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issuance of convertible redeemable non</w:t>
              <w:noBreakHyphen/>
              <w:t>controlling interest and convertible non</w:t>
              <w:noBreakHyphen/>
              <w:t>controlling interest, net of issuance cost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3,280,069</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9,192,838</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pPr>
            <w:r>
              <w:rPr/>
              <w:t>—</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Repurchase of convertible preferred shares and ordinary shares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(12,389)</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(206,169)</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pPr>
            <w:r>
              <w:rPr/>
              <w:t>—</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Taxes paid related to net exercise of share-based awards</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(14,110)</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(2,375,663)</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(271,395)</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(39,349)</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Proceeds from release of shares withheld and exercise of share options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150,792</w:t>
            </w:r>
          </w:p>
        </w:tc>
        <w:tc>
          <w:tcPr>
            <w:tcW w:w="326" w:type="dxa"/>
            <w:tcBorders/>
            <w:shd w:fill="CCEEFF" w:val="clear"/>
            <w:vAlign w:val="center"/>
          </w:tcPr>
          <w:p>
            <w:pPr>
              <w:pStyle w:val="TableContents"/>
              <w:spacing w:before="0" w:after="1"/>
              <w:ind w:left="0" w:right="0" w:hanging="0"/>
              <w:rPr/>
            </w:pPr>
            <w:r>
              <w:rPr/>
              <w:t>​</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21,863</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financing activities</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(11,911)</w:t>
            </w:r>
          </w:p>
        </w:tc>
        <w:tc>
          <w:tcPr>
            <w:tcW w:w="326" w:type="dxa"/>
            <w:tcBorders/>
            <w:shd w:fill="auto" w:val="clear"/>
            <w:vAlign w:val="center"/>
          </w:tcPr>
          <w:p>
            <w:pPr>
              <w:pStyle w:val="TableContents"/>
              <w:spacing w:before="0" w:after="1"/>
              <w:ind w:left="0" w:right="0" w:hanging="0"/>
              <w:rPr/>
            </w:pPr>
            <w:r>
              <w:rPr/>
              <w:t> </w:t>
            </w:r>
          </w:p>
        </w:tc>
        <w:tc>
          <w:tcPr>
            <w:tcW w:w="9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(68,735)</w:t>
            </w:r>
          </w:p>
        </w:tc>
        <w:tc>
          <w:tcPr>
            <w:tcW w:w="326" w:type="dxa"/>
            <w:tcBorders/>
            <w:shd w:fill="auto" w:val="clear"/>
            <w:vAlign w:val="center"/>
          </w:tcPr>
          <w:p>
            <w:pPr>
              <w:pStyle w:val="TableContents"/>
              <w:spacing w:before="0" w:after="1"/>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(77,891)</w:t>
            </w:r>
          </w:p>
        </w:tc>
        <w:tc>
          <w:tcPr>
            <w:tcW w:w="326" w:type="dxa"/>
            <w:tcBorders/>
            <w:shd w:fill="auto" w:val="clear"/>
            <w:vAlign w:val="center"/>
          </w:tcPr>
          <w:p>
            <w:pPr>
              <w:pStyle w:val="TableContents"/>
              <w:spacing w:before="0" w:after="1"/>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(11,292)</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9,274,050</w:t>
            </w:r>
          </w:p>
        </w:tc>
        <w:tc>
          <w:tcPr>
            <w:tcW w:w="326" w:type="dxa"/>
            <w:tcBorders/>
            <w:shd w:fill="CCEEFF" w:val="clear"/>
            <w:vAlign w:val="center"/>
          </w:tcPr>
          <w:p>
            <w:pPr>
              <w:pStyle w:val="TableContents"/>
              <w:spacing w:before="0" w:after="1"/>
              <w:ind w:left="0" w:right="0" w:hanging="0"/>
              <w:rPr/>
            </w:pPr>
            <w:r>
              <w:rPr/>
              <w:t> </w:t>
            </w:r>
          </w:p>
        </w:tc>
        <w:tc>
          <w:tcPr>
            <w:tcW w:w="9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35,191,482</w:t>
            </w:r>
          </w:p>
        </w:tc>
        <w:tc>
          <w:tcPr>
            <w:tcW w:w="326" w:type="dxa"/>
            <w:tcBorders/>
            <w:shd w:fill="CCEEFF" w:val="clear"/>
            <w:vAlign w:val="center"/>
          </w:tcPr>
          <w:p>
            <w:pPr>
              <w:pStyle w:val="TableContents"/>
              <w:spacing w:before="0" w:after="1"/>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(3,545,356)</w:t>
            </w:r>
          </w:p>
        </w:tc>
        <w:tc>
          <w:tcPr>
            <w:tcW w:w="326" w:type="dxa"/>
            <w:tcBorders/>
            <w:shd w:fill="CCEEFF" w:val="clear"/>
            <w:vAlign w:val="center"/>
          </w:tcPr>
          <w:p>
            <w:pPr>
              <w:pStyle w:val="TableContents"/>
              <w:spacing w:before="0" w:after="1"/>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(514,028)</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Effect of exchange rate changes on cash and cash equivalents and restricted cash</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(514,434)</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(571,973)</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1,823,244</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264,346</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7,950,915</w:t>
            </w:r>
          </w:p>
        </w:tc>
        <w:tc>
          <w:tcPr>
            <w:tcW w:w="326" w:type="dxa"/>
            <w:tcBorders/>
            <w:shd w:fill="CCEEFF" w:val="clear"/>
            <w:vAlign w:val="center"/>
          </w:tcPr>
          <w:p>
            <w:pPr>
              <w:pStyle w:val="TableContents"/>
              <w:spacing w:before="0" w:after="1"/>
              <w:ind w:left="0" w:right="0" w:hanging="0"/>
              <w:rPr/>
            </w:pPr>
            <w:r>
              <w:rPr/>
              <w:t> </w:t>
            </w:r>
          </w:p>
        </w:tc>
        <w:tc>
          <w:tcPr>
            <w:tcW w:w="93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22,350,333</w:t>
            </w:r>
          </w:p>
        </w:tc>
        <w:tc>
          <w:tcPr>
            <w:tcW w:w="326" w:type="dxa"/>
            <w:tcBorders/>
            <w:shd w:fill="CCEEFF" w:val="clear"/>
            <w:vAlign w:val="center"/>
          </w:tcPr>
          <w:p>
            <w:pPr>
              <w:pStyle w:val="TableContents"/>
              <w:spacing w:before="0" w:after="1"/>
              <w:ind w:left="0" w:right="0" w:hanging="0"/>
              <w:rPr/>
            </w:pPr>
            <w:r>
              <w:rPr/>
              <w:t> </w:t>
            </w:r>
          </w:p>
        </w:tc>
        <w:tc>
          <w:tcPr>
            <w:tcW w:w="10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(22,304,531)</w:t>
            </w:r>
          </w:p>
        </w:tc>
        <w:tc>
          <w:tcPr>
            <w:tcW w:w="326" w:type="dxa"/>
            <w:tcBorders/>
            <w:shd w:fill="CCEEFF" w:val="clear"/>
            <w:vAlign w:val="center"/>
          </w:tcPr>
          <w:p>
            <w:pPr>
              <w:pStyle w:val="TableContents"/>
              <w:spacing w:before="0" w:after="1"/>
              <w:ind w:left="0" w:right="0" w:hanging="0"/>
              <w:rPr/>
            </w:pPr>
            <w:r>
              <w:rPr/>
              <w:t> </w:t>
            </w:r>
          </w:p>
        </w:tc>
        <w:tc>
          <w:tcPr>
            <w:tcW w:w="96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(3,233,853)</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 at the beginning of the year</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12,790,790</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19,372,084</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43,429,717</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6,296,717</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Restricted cash at the beginning of the year</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889,034</w:t>
            </w:r>
          </w:p>
        </w:tc>
        <w:tc>
          <w:tcPr>
            <w:tcW w:w="326" w:type="dxa"/>
            <w:tcBorders/>
            <w:shd w:fill="CCEEFF" w:val="clear"/>
            <w:vAlign w:val="center"/>
          </w:tcPr>
          <w:p>
            <w:pPr>
              <w:pStyle w:val="TableContents"/>
              <w:spacing w:before="0" w:after="1"/>
              <w:ind w:left="0" w:right="0" w:hanging="0"/>
              <w:rPr/>
            </w:pPr>
            <w:r>
              <w:rPr/>
              <w:t> </w:t>
            </w:r>
          </w:p>
        </w:tc>
        <w:tc>
          <w:tcPr>
            <w:tcW w:w="9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2,258,655</w:t>
            </w:r>
          </w:p>
        </w:tc>
        <w:tc>
          <w:tcPr>
            <w:tcW w:w="326" w:type="dxa"/>
            <w:tcBorders/>
            <w:shd w:fill="CCEEFF" w:val="clear"/>
            <w:vAlign w:val="center"/>
          </w:tcPr>
          <w:p>
            <w:pPr>
              <w:pStyle w:val="TableContents"/>
              <w:spacing w:before="0" w:after="1"/>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551,355</w:t>
            </w:r>
          </w:p>
        </w:tc>
        <w:tc>
          <w:tcPr>
            <w:tcW w:w="326" w:type="dxa"/>
            <w:tcBorders/>
            <w:shd w:fill="CCEEFF" w:val="clear"/>
            <w:vAlign w:val="center"/>
          </w:tcPr>
          <w:p>
            <w:pPr>
              <w:pStyle w:val="TableContents"/>
              <w:spacing w:before="0" w:after="1"/>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79,939</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Cash and cash equivalents and restricted cash at the beginning of the year</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13,679,824</w:t>
            </w:r>
          </w:p>
        </w:tc>
        <w:tc>
          <w:tcPr>
            <w:tcW w:w="326" w:type="dxa"/>
            <w:tcBorders/>
            <w:shd w:fill="auto" w:val="clear"/>
            <w:vAlign w:val="center"/>
          </w:tcPr>
          <w:p>
            <w:pPr>
              <w:pStyle w:val="TableContents"/>
              <w:spacing w:before="0" w:after="1"/>
              <w:ind w:left="0" w:right="0" w:hanging="0"/>
              <w:rPr/>
            </w:pPr>
            <w:r>
              <w:rPr/>
              <w:t> </w:t>
            </w:r>
          </w:p>
        </w:tc>
        <w:tc>
          <w:tcPr>
            <w:tcW w:w="9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21,630,739</w:t>
            </w:r>
          </w:p>
        </w:tc>
        <w:tc>
          <w:tcPr>
            <w:tcW w:w="326" w:type="dxa"/>
            <w:tcBorders/>
            <w:shd w:fill="auto" w:val="clear"/>
            <w:vAlign w:val="center"/>
          </w:tcPr>
          <w:p>
            <w:pPr>
              <w:pStyle w:val="TableContents"/>
              <w:spacing w:before="0" w:after="1"/>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43,981,072</w:t>
            </w:r>
          </w:p>
        </w:tc>
        <w:tc>
          <w:tcPr>
            <w:tcW w:w="326" w:type="dxa"/>
            <w:tcBorders/>
            <w:shd w:fill="auto" w:val="clear"/>
            <w:vAlign w:val="center"/>
          </w:tcPr>
          <w:p>
            <w:pPr>
              <w:pStyle w:val="TableContents"/>
              <w:spacing w:before="0" w:after="1"/>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6,376,656</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 at the end of the year</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19,372,084</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43,429,717</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20,855,252</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3,023,727</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Restricted cash at the end of the year</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2,258,655</w:t>
            </w:r>
          </w:p>
        </w:tc>
        <w:tc>
          <w:tcPr>
            <w:tcW w:w="326" w:type="dxa"/>
            <w:tcBorders/>
            <w:shd w:fill="auto" w:val="clear"/>
            <w:vAlign w:val="center"/>
          </w:tcPr>
          <w:p>
            <w:pPr>
              <w:pStyle w:val="TableContents"/>
              <w:spacing w:before="0" w:after="1"/>
              <w:ind w:left="0" w:right="0" w:hanging="0"/>
              <w:rPr/>
            </w:pPr>
            <w:r>
              <w:rPr/>
              <w:t> </w:t>
            </w:r>
          </w:p>
        </w:tc>
        <w:tc>
          <w:tcPr>
            <w:tcW w:w="9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551,355</w:t>
            </w:r>
          </w:p>
        </w:tc>
        <w:tc>
          <w:tcPr>
            <w:tcW w:w="326" w:type="dxa"/>
            <w:tcBorders/>
            <w:shd w:fill="auto" w:val="clear"/>
            <w:vAlign w:val="center"/>
          </w:tcPr>
          <w:p>
            <w:pPr>
              <w:pStyle w:val="TableContents"/>
              <w:spacing w:before="0" w:after="1"/>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821,289</w:t>
            </w:r>
          </w:p>
        </w:tc>
        <w:tc>
          <w:tcPr>
            <w:tcW w:w="326" w:type="dxa"/>
            <w:tcBorders/>
            <w:shd w:fill="auto" w:val="clear"/>
            <w:vAlign w:val="center"/>
          </w:tcPr>
          <w:p>
            <w:pPr>
              <w:pStyle w:val="TableContents"/>
              <w:spacing w:before="0" w:after="1"/>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119,076</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Cash and cash equivalents and restricted cash at the end of the year</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21,630,739</w:t>
            </w:r>
          </w:p>
        </w:tc>
        <w:tc>
          <w:tcPr>
            <w:tcW w:w="326" w:type="dxa"/>
            <w:tcBorders/>
            <w:shd w:fill="CCEEFF" w:val="clear"/>
            <w:vAlign w:val="center"/>
          </w:tcPr>
          <w:p>
            <w:pPr>
              <w:pStyle w:val="TableContents"/>
              <w:spacing w:before="0" w:after="1"/>
              <w:ind w:left="0" w:right="0" w:hanging="0"/>
              <w:rPr/>
            </w:pPr>
            <w:r>
              <w:rPr/>
              <w:t> </w:t>
            </w:r>
          </w:p>
        </w:tc>
        <w:tc>
          <w:tcPr>
            <w:tcW w:w="9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43,981,072</w:t>
            </w:r>
          </w:p>
        </w:tc>
        <w:tc>
          <w:tcPr>
            <w:tcW w:w="326" w:type="dxa"/>
            <w:tcBorders/>
            <w:shd w:fill="CCEEFF" w:val="clear"/>
            <w:vAlign w:val="center"/>
          </w:tcPr>
          <w:p>
            <w:pPr>
              <w:pStyle w:val="TableContents"/>
              <w:spacing w:before="0" w:after="1"/>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21,676,541</w:t>
            </w:r>
          </w:p>
        </w:tc>
        <w:tc>
          <w:tcPr>
            <w:tcW w:w="326" w:type="dxa"/>
            <w:tcBorders/>
            <w:shd w:fill="CCEEFF" w:val="clear"/>
            <w:vAlign w:val="center"/>
          </w:tcPr>
          <w:p>
            <w:pPr>
              <w:pStyle w:val="TableContents"/>
              <w:spacing w:before="0" w:after="1"/>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3,142,803</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7,950,915</w:t>
            </w:r>
          </w:p>
        </w:tc>
        <w:tc>
          <w:tcPr>
            <w:tcW w:w="326" w:type="dxa"/>
            <w:tcBorders/>
            <w:shd w:fill="auto" w:val="clear"/>
            <w:vAlign w:val="center"/>
          </w:tcPr>
          <w:p>
            <w:pPr>
              <w:pStyle w:val="TableContents"/>
              <w:spacing w:before="0" w:after="1"/>
              <w:ind w:left="0" w:right="0" w:hanging="0"/>
              <w:rPr/>
            </w:pPr>
            <w:r>
              <w:rPr/>
              <w:t> </w:t>
            </w:r>
          </w:p>
        </w:tc>
        <w:tc>
          <w:tcPr>
            <w:tcW w:w="93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22,350,333</w:t>
            </w:r>
          </w:p>
        </w:tc>
        <w:tc>
          <w:tcPr>
            <w:tcW w:w="326" w:type="dxa"/>
            <w:tcBorders/>
            <w:shd w:fill="auto" w:val="clear"/>
            <w:vAlign w:val="center"/>
          </w:tcPr>
          <w:p>
            <w:pPr>
              <w:pStyle w:val="TableContents"/>
              <w:spacing w:before="0" w:after="1"/>
              <w:ind w:left="0" w:right="0" w:hanging="0"/>
              <w:rPr/>
            </w:pPr>
            <w:r>
              <w:rPr/>
              <w:t> </w:t>
            </w:r>
          </w:p>
        </w:tc>
        <w:tc>
          <w:tcPr>
            <w:tcW w:w="100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(22,304,531)</w:t>
            </w:r>
          </w:p>
        </w:tc>
        <w:tc>
          <w:tcPr>
            <w:tcW w:w="326" w:type="dxa"/>
            <w:tcBorders/>
            <w:shd w:fill="auto" w:val="clear"/>
            <w:vAlign w:val="center"/>
          </w:tcPr>
          <w:p>
            <w:pPr>
              <w:pStyle w:val="TableContents"/>
              <w:spacing w:before="0" w:after="1"/>
              <w:ind w:left="0" w:right="0" w:hanging="0"/>
              <w:rPr/>
            </w:pPr>
            <w:r>
              <w:rPr/>
              <w:t> </w:t>
            </w:r>
          </w:p>
        </w:tc>
        <w:tc>
          <w:tcPr>
            <w:tcW w:w="9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(3,233,853)</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pPr>
            <w:r>
              <w:rPr/>
              <w:t>  </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paid for interest expenses</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(88,149)</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(251,853)</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(160,639)</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(23,290)</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paid for income tax expenses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(158,082)</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(331,488)</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(484,790)</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(70,288)</w:t>
            </w:r>
          </w:p>
        </w:tc>
      </w:tr>
      <w:tr>
        <w:trPr/>
        <w:tc>
          <w:tcPr>
            <w:tcW w:w="509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b/>
                <w:sz w:val="16"/>
              </w:rPr>
              <w:t>Supplemental schedule of non</w:t>
            </w:r>
            <w:r>
              <w:rPr>
                <w:rFonts w:ascii="Times New Roman;Times;serif" w:hAnsi="Times New Roman;Times;serif"/>
                <w:sz w:val="16"/>
              </w:rPr>
              <w:noBreakHyphen/>
            </w:r>
            <w:r>
              <w:rPr>
                <w:rFonts w:ascii="Times New Roman;Times;serif" w:hAnsi="Times New Roman;Times;serif"/>
                <w:b/>
                <w:sz w:val="16"/>
              </w:rPr>
              <w:t>cash investing and financing activities</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pPr>
            <w:r>
              <w:rPr/>
              <w:t>​</w:t>
            </w:r>
          </w:p>
        </w:tc>
      </w:tr>
      <w:tr>
        <w:trPr/>
        <w:tc>
          <w:tcPr>
            <w:tcW w:w="509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Changes in payables related to property and equipment and intangible assets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1,732,222</w:t>
            </w:r>
          </w:p>
        </w:tc>
        <w:tc>
          <w:tcPr>
            <w:tcW w:w="326" w:type="dxa"/>
            <w:tcBorders/>
            <w:shd w:fill="CCEEFF" w:val="clear"/>
            <w:vAlign w:val="center"/>
          </w:tcPr>
          <w:p>
            <w:pPr>
              <w:pStyle w:val="TableContents"/>
              <w:spacing w:before="0" w:after="1"/>
              <w:ind w:left="0" w:right="0" w:hanging="0"/>
              <w:rPr/>
            </w:pPr>
            <w:r>
              <w:rPr/>
              <w:t> </w:t>
            </w:r>
          </w:p>
        </w:tc>
        <w:tc>
          <w:tcPr>
            <w:tcW w:w="9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1,048,022</w:t>
            </w:r>
          </w:p>
        </w:tc>
        <w:tc>
          <w:tcPr>
            <w:tcW w:w="326"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335,032</w:t>
            </w:r>
          </w:p>
        </w:tc>
        <w:tc>
          <w:tcPr>
            <w:tcW w:w="326"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48,575</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0"/>
        <w:ind w:left="0" w:right="0" w:hanging="0"/>
        <w:rPr/>
      </w:pPr>
      <w:bookmarkStart w:id="1671" w:name="cashflowEnd"/>
      <w:bookmarkEnd w:id="1671"/>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b/>
          <w:sz w:val="20"/>
        </w:rPr>
      </w:pPr>
      <w:bookmarkStart w:id="1672" w:name="_a85b53b9_26c4_4166_9dec_c20972922841"/>
      <w:bookmarkEnd w:id="1672"/>
      <w:r>
        <w:rPr>
          <w:rFonts w:ascii="Times New Roman;Times;serif" w:hAnsi="Times New Roman;Times;serif"/>
          <w:b/>
          <w:sz w:val="20"/>
        </w:rPr>
        <w:t>DIDI GLOBAL INC.</w:t>
      </w:r>
    </w:p>
    <w:p>
      <w:pPr>
        <w:pStyle w:val="TextBody"/>
        <w:spacing w:before="0" w:after="160"/>
        <w:ind w:left="0" w:right="0" w:hanging="0"/>
        <w:rPr>
          <w:rFonts w:ascii="Times New Roman;Times;serif" w:hAnsi="Times New Roman;Times;serif"/>
          <w:b/>
          <w:sz w:val="20"/>
        </w:rPr>
      </w:pPr>
      <w:bookmarkStart w:id="1673" w:name="NOTESTOTHEHISTORICALFINANCIALINFORMATION"/>
      <w:bookmarkEnd w:id="1673"/>
      <w:r>
        <w:rPr>
          <w:rFonts w:ascii="Times New Roman;Times;serif" w:hAnsi="Times New Roman;Times;serif"/>
          <w:b/>
          <w:sz w:val="20"/>
        </w:rPr>
        <w:t>NOTES TO CONSOLIDATED FINANCIAL STATEMENTS</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1674" w:name="Tc_gPKnvFfXakWCipg3Ur7CWA_16_2"/>
      <w:bookmarkStart w:id="1675" w:name="Tc_wPlu48tTiEeUmRJcLLdcDg_16_0"/>
      <w:bookmarkStart w:id="1676" w:name="Tc_kqieydV2FkKunWjJ3o46dA_15_2"/>
      <w:bookmarkStart w:id="1677" w:name="Tc_41dza-mbNEulvX8Tjxzf7w_15_0"/>
      <w:bookmarkStart w:id="1678" w:name="Tc_EWrbOMX0PUOfgN3deh27AQ_14_2"/>
      <w:bookmarkStart w:id="1679" w:name="Tc_Jtc3wuoP306diHLYzLu_hg_14_0"/>
      <w:bookmarkStart w:id="1680" w:name="Tc_7sRK1YvVr062o5hpN_42Yg_13_0"/>
      <w:bookmarkStart w:id="1681" w:name="Tc_KYC87U4lR0iknhR8f7X0Vw_11_2"/>
      <w:bookmarkStart w:id="1682" w:name="Tc_qdOIgwQ8FUeVaL2iQSpZzg_11_0"/>
      <w:bookmarkStart w:id="1683" w:name="Tc_8vLILrb0YkCUhaBZeqJPIQ_10_2"/>
      <w:bookmarkStart w:id="1684" w:name="Tc_f5X8irt0yUyqXUA84o7boA_10_0"/>
      <w:bookmarkStart w:id="1685" w:name="Tc_cd8VA1Mg-k-mJvcrlrJgtw_9_2"/>
      <w:bookmarkStart w:id="1686" w:name="Tc_g-0dHjGFr0mviEIWZ3uwoQ_9_0"/>
      <w:bookmarkStart w:id="1687" w:name="Tc_2OCeqfZhmk6Pj_Mr4qyYkQ_8_2"/>
      <w:bookmarkStart w:id="1688" w:name="Tc_xN7h0ozR4EyxjEDoxOa3Yw_8_0"/>
      <w:bookmarkStart w:id="1689" w:name="Tc_b7s6i_vKs0WP2QRuam8_OQ_7_2"/>
      <w:bookmarkStart w:id="1690" w:name="Tc_GgVWTpYNLka93_NfcoRhVw_7_0"/>
      <w:bookmarkStart w:id="1691" w:name="Tc_CRS_YAVjykWjOUtmDMPlsw_6_0"/>
      <w:bookmarkStart w:id="1692" w:name="Tc_GUwM5OrX80WU02vMpcd2Xg_5_6"/>
      <w:bookmarkStart w:id="1693" w:name="Tc_wsHey-VEaEypJeddxdffbw_5_4"/>
      <w:bookmarkStart w:id="1694" w:name="Tc_3fHHj35slEmnjYM6GrkQzA_5_2"/>
      <w:bookmarkStart w:id="1695" w:name="Tc_ob3VUJ2NKkePlvO3WTZfYg_5_0"/>
      <w:bookmarkStart w:id="1696" w:name="Tc_7hQXim1R90yd98Ce5gL8Uw_4_4"/>
      <w:bookmarkStart w:id="1697" w:name="Tc_T0Nzom23dE2zEqgKGJ1oUg_4_2"/>
      <w:bookmarkStart w:id="1698" w:name="Tc_8b-ePoec1kmWpj0Ydmvu_g_3_4"/>
      <w:bookmarkStart w:id="1699" w:name="Tc_-fZJIXTsL0aK_OT75CsIrQ_3_2"/>
      <w:bookmarkStart w:id="1700" w:name="Tc_-LkkzT5k0ky__Fn1_Me5Mg_2_4"/>
      <w:bookmarkStart w:id="1701" w:name="Tc_-QZJcWgfo0i7eCXZhnbGHQ_2_2"/>
      <w:bookmarkStart w:id="1702" w:name="Tc_A08CGPXb70qyzRyvPzSNxw_1_4"/>
      <w:bookmarkStart w:id="1703" w:name="Tc_fC95lm5M00q7vlaJCy9O0w_1_2"/>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r>
        <w:rPr>
          <w:rFonts w:ascii="Times New Roman;Times;serif" w:hAnsi="Times New Roman;Times;serif"/>
          <w:b/>
          <w:sz w:val="20"/>
        </w:rPr>
        <w:t>1. Organization and principal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DiDi Global Inc. (the “Company”), previously named Xiaoju Science and Technology Limited, was incorporated under the laws of the Cayman Islands on January 11, 2013 and is primarily engaged in operating its global mobility technology platform that provides a range of mobility services as well as other services in the People’s Republic of China (“PRC” or “China”) and across overseas countries including Brazil, Mexico, etc. through its consolidated subsidiaries, variable interest entities (“VIE”s) and VIEs’ subsidiaries (collectively, the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major subsidiaries, VIEs and VIEs’ subsidiaries are described as follows:</w:t>
      </w:r>
    </w:p>
    <w:p>
      <w:pPr>
        <w:pStyle w:val="TextBody"/>
        <w:spacing w:before="0" w:after="0"/>
        <w:ind w:left="0" w:right="0" w:hanging="0"/>
        <w:rPr/>
      </w:pPr>
      <w:r>
        <w:rPr/>
        <w:t>​</w:t>
      </w:r>
    </w:p>
    <w:tbl>
      <w:tblPr>
        <w:tblW w:w="9534" w:type="dxa"/>
        <w:jc w:val="left"/>
        <w:tblInd w:w="0" w:type="dxa"/>
        <w:tblCellMar>
          <w:top w:w="0" w:type="dxa"/>
          <w:left w:w="0" w:type="dxa"/>
          <w:bottom w:w="0" w:type="dxa"/>
          <w:right w:w="0" w:type="dxa"/>
        </w:tblCellMar>
      </w:tblPr>
      <w:tblGrid>
        <w:gridCol w:w="4381"/>
        <w:gridCol w:w="326"/>
        <w:gridCol w:w="2236"/>
        <w:gridCol w:w="326"/>
        <w:gridCol w:w="809"/>
        <w:gridCol w:w="566"/>
        <w:gridCol w:w="890"/>
      </w:tblGrid>
      <w:tr>
        <w:trPr/>
        <w:tc>
          <w:tcPr>
            <w:tcW w:w="43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3" name="Frame4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419860" cy="175260"/>
                      <wp:effectExtent l="0" t="0" r="0" b="0"/>
                      <wp:wrapNone/>
                      <wp:docPr id="414" name="Frame407"/>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5"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13715" cy="175260"/>
                      <wp:effectExtent l="0" t="0" r="0" b="0"/>
                      <wp:wrapNone/>
                      <wp:docPr id="416" name="Frame409"/>
                      <a:graphic xmlns:a="http://schemas.openxmlformats.org/drawingml/2006/main">
                        <a:graphicData uri="http://schemas.microsoft.com/office/word/2010/wordprocessingShape">
                          <wps:wsp>
                            <wps:cNvSpPr txBox="1"/>
                            <wps:spPr>
                              <a:xfrm>
                                <a:off x="0" y="0"/>
                                <a:ext cx="513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59410" cy="175260"/>
                      <wp:effectExtent l="0" t="0" r="0" b="0"/>
                      <wp:wrapNone/>
                      <wp:docPr id="417" name="Frame410"/>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65150" cy="175260"/>
                      <wp:effectExtent l="0" t="0" r="0" b="0"/>
                      <wp:wrapNone/>
                      <wp:docPr id="418" name="Frame411"/>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Country/Place </w:t>
            </w:r>
          </w:p>
        </w:tc>
        <w:tc>
          <w:tcPr>
            <w:tcW w:w="326" w:type="dxa"/>
            <w:tcBorders/>
            <w:shd w:fill="auto" w:val="clear"/>
            <w:vAlign w:val="center"/>
          </w:tcPr>
          <w:p>
            <w:pPr>
              <w:pStyle w:val="TableContents"/>
              <w:spacing w:before="0" w:after="1"/>
              <w:ind w:left="0" w:right="0" w:hanging="0"/>
              <w:jc w:val="center"/>
              <w:rPr/>
            </w:pPr>
            <w:r>
              <w:rPr/>
              <w:t>    </w:t>
            </w:r>
          </w:p>
        </w:tc>
        <w:tc>
          <w:tcPr>
            <w:tcW w:w="2265"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 direct or </w:t>
            </w:r>
          </w:p>
        </w:tc>
      </w:tr>
      <w:tr>
        <w:trPr/>
        <w:tc>
          <w:tcPr>
            <w:tcW w:w="43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26" w:type="dxa"/>
            <w:tcBorders/>
            <w:shd w:fill="auto" w:val="clear"/>
            <w:vAlign w:val="center"/>
          </w:tcPr>
          <w:p>
            <w:pPr>
              <w:pStyle w:val="TableContents"/>
              <w:spacing w:before="0" w:after="1"/>
              <w:ind w:left="0" w:right="0" w:hanging="0"/>
              <w:jc w:val="center"/>
              <w:rPr/>
            </w:pPr>
            <w:r>
              <w:rPr/>
              <w:t>​</w:t>
            </w:r>
          </w:p>
        </w:tc>
        <w:tc>
          <w:tcPr>
            <w:tcW w:w="2265"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indirect</w:t>
            </w:r>
          </w:p>
        </w:tc>
      </w:tr>
      <w:tr>
        <w:trPr/>
        <w:tc>
          <w:tcPr>
            <w:tcW w:w="43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date of </w:t>
            </w:r>
          </w:p>
        </w:tc>
        <w:tc>
          <w:tcPr>
            <w:tcW w:w="326" w:type="dxa"/>
            <w:tcBorders/>
            <w:shd w:fill="auto" w:val="clear"/>
            <w:vAlign w:val="center"/>
          </w:tcPr>
          <w:p>
            <w:pPr>
              <w:pStyle w:val="TableContents"/>
              <w:spacing w:before="0" w:after="1"/>
              <w:ind w:left="0" w:right="0" w:hanging="0"/>
              <w:jc w:val="center"/>
              <w:rPr/>
            </w:pPr>
            <w:r>
              <w:rPr/>
              <w:t>​</w:t>
            </w:r>
          </w:p>
        </w:tc>
        <w:tc>
          <w:tcPr>
            <w:tcW w:w="226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economic benefits ownership</w:t>
            </w:r>
          </w:p>
        </w:tc>
      </w:tr>
      <w:tr>
        <w:trPr/>
        <w:tc>
          <w:tcPr>
            <w:tcW w:w="43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 </w:t>
            </w:r>
          </w:p>
        </w:tc>
        <w:tc>
          <w:tcPr>
            <w:tcW w:w="326" w:type="dxa"/>
            <w:tcBorders/>
            <w:shd w:fill="auto" w:val="clear"/>
            <w:vAlign w:val="center"/>
          </w:tcPr>
          <w:p>
            <w:pPr>
              <w:pStyle w:val="TableContents"/>
              <w:spacing w:before="0" w:after="1"/>
              <w:ind w:left="0" w:right="0" w:hanging="0"/>
              <w:jc w:val="center"/>
              <w:rPr/>
            </w:pPr>
            <w:r>
              <w:rPr/>
              <w:t>​</w:t>
            </w:r>
          </w:p>
        </w:tc>
        <w:tc>
          <w:tcPr>
            <w:tcW w:w="226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Companies</w:t>
            </w:r>
          </w:p>
        </w:tc>
        <w:tc>
          <w:tcPr>
            <w:tcW w:w="326" w:type="dxa"/>
            <w:tcBorders/>
            <w:shd w:fill="auto" w:val="clear"/>
            <w:vAlign w:val="center"/>
          </w:tcPr>
          <w:p>
            <w:pPr>
              <w:pStyle w:val="TableContents"/>
              <w:spacing w:before="0" w:after="1"/>
              <w:ind w:left="0" w:right="0" w:hanging="0"/>
              <w:jc w:val="center"/>
              <w:rPr/>
            </w:pPr>
            <w:r>
              <w:rPr/>
              <w:t>    </w:t>
            </w:r>
          </w:p>
        </w:tc>
        <w:tc>
          <w:tcPr>
            <w:tcW w:w="22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establishment</w:t>
            </w:r>
          </w:p>
        </w:tc>
        <w:tc>
          <w:tcPr>
            <w:tcW w:w="326" w:type="dxa"/>
            <w:tcBorders/>
            <w:shd w:fill="auto" w:val="clear"/>
            <w:vAlign w:val="center"/>
          </w:tcPr>
          <w:p>
            <w:pPr>
              <w:pStyle w:val="TableContents"/>
              <w:spacing w:before="0" w:after="1"/>
              <w:ind w:left="0" w:right="0" w:hanging="0"/>
              <w:jc w:val="center"/>
              <w:rPr/>
            </w:pPr>
            <w:r>
              <w:rPr/>
              <w:t>    </w:t>
            </w:r>
          </w:p>
        </w:tc>
        <w:tc>
          <w:tcPr>
            <w:tcW w:w="80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566" w:type="dxa"/>
            <w:tcBorders/>
            <w:shd w:fill="auto" w:val="clear"/>
            <w:vAlign w:val="center"/>
          </w:tcPr>
          <w:p>
            <w:pPr>
              <w:pStyle w:val="TableContents"/>
              <w:spacing w:before="0" w:after="1"/>
              <w:ind w:left="0" w:right="0" w:hanging="0"/>
              <w:jc w:val="center"/>
              <w:rPr/>
            </w:pPr>
            <w:r>
              <w:rPr/>
              <w:t>    </w:t>
            </w:r>
          </w:p>
        </w:tc>
        <w:tc>
          <w:tcPr>
            <w:tcW w:w="8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81" w:type="dxa"/>
            <w:tcBorders/>
            <w:shd w:fill="CCEEFF" w:val="clear"/>
            <w:vAlign w:val="center"/>
          </w:tcPr>
          <w:p>
            <w:pPr>
              <w:pStyle w:val="TableContents"/>
              <w:spacing w:before="0" w:after="1"/>
              <w:ind w:left="0" w:right="0" w:hanging="0"/>
              <w:rPr>
                <w:rFonts w:ascii="Times New Roman;Times;serif" w:hAnsi="Times New Roman;Times;serif"/>
                <w:b/>
                <w:i/>
                <w:sz w:val="16"/>
              </w:rPr>
            </w:pPr>
            <w:r>
              <w:rPr>
                <w:rFonts w:ascii="Times New Roman;Times;serif" w:hAnsi="Times New Roman;Times;serif"/>
                <w:b/>
                <w:i/>
                <w:sz w:val="16"/>
              </w:rPr>
              <w:t>Major Subsidiaries</w:t>
            </w:r>
          </w:p>
        </w:tc>
        <w:tc>
          <w:tcPr>
            <w:tcW w:w="326" w:type="dxa"/>
            <w:tcBorders/>
            <w:shd w:fill="CCEEFF" w:val="clear"/>
            <w:vAlign w:val="center"/>
          </w:tcPr>
          <w:p>
            <w:pPr>
              <w:pStyle w:val="TableContents"/>
              <w:spacing w:before="0" w:after="1"/>
              <w:ind w:left="0" w:right="0" w:hanging="0"/>
              <w:rPr/>
            </w:pPr>
            <w:r>
              <w:rPr/>
              <w:t>​</w:t>
            </w:r>
          </w:p>
        </w:tc>
        <w:tc>
          <w:tcPr>
            <w:tcW w:w="22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09"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rPr/>
            </w:pPr>
            <w:r>
              <w:rPr/>
              <w:t>​</w:t>
            </w:r>
          </w:p>
        </w:tc>
      </w:tr>
      <w:tr>
        <w:trPr/>
        <w:tc>
          <w:tcPr>
            <w:tcW w:w="438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Marvelous Yarra Limited</w:t>
            </w:r>
          </w:p>
        </w:tc>
        <w:tc>
          <w:tcPr>
            <w:tcW w:w="326" w:type="dxa"/>
            <w:tcBorders/>
            <w:shd w:fill="auto" w:val="clear"/>
            <w:vAlign w:val="center"/>
          </w:tcPr>
          <w:p>
            <w:pPr>
              <w:pStyle w:val="TableContents"/>
              <w:spacing w:before="0" w:after="1"/>
              <w:ind w:left="0" w:right="0" w:hanging="0"/>
              <w:rPr/>
            </w:pPr>
            <w:r>
              <w:rPr/>
              <w:t>​</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BVI March 20, 2017</w:t>
            </w:r>
          </w:p>
        </w:tc>
        <w:tc>
          <w:tcPr>
            <w:tcW w:w="326" w:type="dxa"/>
            <w:tcBorders/>
            <w:shd w:fill="auto" w:val="clear"/>
            <w:vAlign w:val="center"/>
          </w:tcPr>
          <w:p>
            <w:pPr>
              <w:pStyle w:val="TableContents"/>
              <w:spacing w:before="0" w:after="1"/>
              <w:ind w:left="0" w:right="0" w:hanging="0"/>
              <w:rPr/>
            </w:pPr>
            <w:r>
              <w:rPr/>
              <w:t>​</w:t>
            </w:r>
          </w:p>
        </w:tc>
        <w:tc>
          <w:tcPr>
            <w:tcW w:w="80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auto" w:val="clear"/>
            <w:vAlign w:val="center"/>
          </w:tcPr>
          <w:p>
            <w:pPr>
              <w:pStyle w:val="TableContents"/>
              <w:spacing w:before="0" w:after="1"/>
              <w:ind w:left="0" w:right="0" w:hanging="0"/>
              <w:rPr/>
            </w:pPr>
            <w:r>
              <w:rPr/>
              <w:t>​</w:t>
            </w:r>
          </w:p>
        </w:tc>
        <w:tc>
          <w:tcPr>
            <w:tcW w:w="890"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Holly Universal Limited </w:t>
            </w:r>
          </w:p>
        </w:tc>
        <w:tc>
          <w:tcPr>
            <w:tcW w:w="326" w:type="dxa"/>
            <w:tcBorders/>
            <w:shd w:fill="CCEEFF" w:val="clear"/>
            <w:vAlign w:val="center"/>
          </w:tcPr>
          <w:p>
            <w:pPr>
              <w:pStyle w:val="TableContents"/>
              <w:spacing w:before="0" w:after="1"/>
              <w:ind w:left="0" w:right="0" w:hanging="0"/>
              <w:rPr/>
            </w:pPr>
            <w:r>
              <w:rPr/>
              <w:t>​</w:t>
            </w:r>
          </w:p>
        </w:tc>
        <w:tc>
          <w:tcPr>
            <w:tcW w:w="22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BVI, January 6, 2017</w:t>
            </w:r>
          </w:p>
        </w:tc>
        <w:tc>
          <w:tcPr>
            <w:tcW w:w="326" w:type="dxa"/>
            <w:tcBorders/>
            <w:shd w:fill="CCEEFF" w:val="clear"/>
            <w:vAlign w:val="center"/>
          </w:tcPr>
          <w:p>
            <w:pPr>
              <w:pStyle w:val="TableContents"/>
              <w:spacing w:before="0" w:after="1"/>
              <w:ind w:left="0" w:right="0" w:hanging="0"/>
              <w:rPr/>
            </w:pPr>
            <w:r>
              <w:rPr/>
              <w:t>​</w:t>
            </w:r>
          </w:p>
        </w:tc>
        <w:tc>
          <w:tcPr>
            <w:tcW w:w="80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DiDi (HK) Science and Technology Limited</w:t>
            </w:r>
          </w:p>
        </w:tc>
        <w:tc>
          <w:tcPr>
            <w:tcW w:w="326" w:type="dxa"/>
            <w:tcBorders/>
            <w:shd w:fill="auto" w:val="clear"/>
            <w:vAlign w:val="center"/>
          </w:tcPr>
          <w:p>
            <w:pPr>
              <w:pStyle w:val="TableContents"/>
              <w:spacing w:before="0" w:after="1"/>
              <w:ind w:left="0" w:right="0" w:hanging="0"/>
              <w:rPr/>
            </w:pPr>
            <w:r>
              <w:rPr/>
              <w:t>​</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Hong Kong, August 2, 2013</w:t>
            </w:r>
          </w:p>
        </w:tc>
        <w:tc>
          <w:tcPr>
            <w:tcW w:w="326" w:type="dxa"/>
            <w:tcBorders/>
            <w:shd w:fill="auto" w:val="clear"/>
            <w:vAlign w:val="center"/>
          </w:tcPr>
          <w:p>
            <w:pPr>
              <w:pStyle w:val="TableContents"/>
              <w:spacing w:before="0" w:after="1"/>
              <w:ind w:left="0" w:right="0" w:hanging="0"/>
              <w:rPr/>
            </w:pPr>
            <w:r>
              <w:rPr/>
              <w:t>​</w:t>
            </w:r>
          </w:p>
        </w:tc>
        <w:tc>
          <w:tcPr>
            <w:tcW w:w="80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auto" w:val="clear"/>
            <w:vAlign w:val="center"/>
          </w:tcPr>
          <w:p>
            <w:pPr>
              <w:pStyle w:val="TableContents"/>
              <w:spacing w:before="0" w:after="1"/>
              <w:ind w:left="0" w:right="0" w:hanging="0"/>
              <w:rPr/>
            </w:pPr>
            <w:r>
              <w:rPr/>
              <w:t>​</w:t>
            </w:r>
          </w:p>
        </w:tc>
        <w:tc>
          <w:tcPr>
            <w:tcW w:w="890"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Xiaoju Science and Technology (Hong Kong) Limited</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Hong Kong, January 29, 2013</w:t>
            </w:r>
          </w:p>
        </w:tc>
        <w:tc>
          <w:tcPr>
            <w:tcW w:w="326" w:type="dxa"/>
            <w:tcBorders/>
            <w:shd w:fill="CCEEFF" w:val="clear"/>
            <w:vAlign w:val="center"/>
          </w:tcPr>
          <w:p>
            <w:pPr>
              <w:pStyle w:val="TableContents"/>
              <w:spacing w:before="0" w:after="1"/>
              <w:ind w:left="0" w:right="0" w:hanging="0"/>
              <w:rPr/>
            </w:pPr>
            <w:r>
              <w:rPr/>
              <w:t> </w:t>
            </w:r>
          </w:p>
        </w:tc>
        <w:tc>
          <w:tcPr>
            <w:tcW w:w="80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Beijing DiDi Infinity Technology and Development Co., Ltd.</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PRC, May 6, 2013</w:t>
            </w:r>
          </w:p>
        </w:tc>
        <w:tc>
          <w:tcPr>
            <w:tcW w:w="326" w:type="dxa"/>
            <w:tcBorders/>
            <w:shd w:fill="auto" w:val="clear"/>
            <w:vAlign w:val="center"/>
          </w:tcPr>
          <w:p>
            <w:pPr>
              <w:pStyle w:val="TableContents"/>
              <w:spacing w:before="0" w:after="1"/>
              <w:ind w:left="0" w:right="0" w:hanging="0"/>
              <w:rPr/>
            </w:pPr>
            <w:r>
              <w:rPr/>
              <w:t> </w:t>
            </w:r>
          </w:p>
        </w:tc>
        <w:tc>
          <w:tcPr>
            <w:tcW w:w="80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auto" w:val="clear"/>
            <w:vAlign w:val="center"/>
          </w:tcPr>
          <w:p>
            <w:pPr>
              <w:pStyle w:val="TableContents"/>
              <w:spacing w:before="0" w:after="1"/>
              <w:ind w:left="0" w:right="0" w:hanging="0"/>
              <w:rPr/>
            </w:pPr>
            <w:r>
              <w:rPr/>
              <w:t>​</w:t>
            </w:r>
          </w:p>
        </w:tc>
        <w:tc>
          <w:tcPr>
            <w:tcW w:w="890"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09" w:type="dxa"/>
            <w:tcBorders/>
            <w:shd w:fill="CCEEFF" w:val="clear"/>
            <w:vAlign w:val="center"/>
          </w:tcPr>
          <w:p>
            <w:pPr>
              <w:pStyle w:val="TableContents"/>
              <w:spacing w:before="0" w:after="1"/>
              <w:ind w:left="0" w:right="0" w:hanging="0"/>
              <w:jc w:val="center"/>
              <w:rPr/>
            </w:pPr>
            <w:r>
              <w:rPr/>
              <w:t>​</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jc w:val="center"/>
              <w:rPr/>
            </w:pPr>
            <w:r>
              <w:rPr/>
              <w:t>​</w:t>
            </w:r>
          </w:p>
        </w:tc>
      </w:tr>
      <w:tr>
        <w:trPr/>
        <w:tc>
          <w:tcPr>
            <w:tcW w:w="4381" w:type="dxa"/>
            <w:tcBorders/>
            <w:shd w:fill="auto" w:val="clear"/>
            <w:vAlign w:val="center"/>
          </w:tcPr>
          <w:p>
            <w:pPr>
              <w:pStyle w:val="TableContents"/>
              <w:spacing w:before="0" w:after="1"/>
              <w:ind w:left="0" w:right="0" w:hanging="0"/>
              <w:rPr>
                <w:rFonts w:ascii="Times New Roman;Times;serif" w:hAnsi="Times New Roman;Times;serif"/>
                <w:b/>
                <w:i/>
                <w:sz w:val="16"/>
              </w:rPr>
            </w:pPr>
            <w:r>
              <w:rPr>
                <w:rFonts w:ascii="Times New Roman;Times;serif" w:hAnsi="Times New Roman;Times;serif"/>
                <w:b/>
                <w:i/>
                <w:sz w:val="16"/>
              </w:rPr>
              <w:t>Major VIEs (Including VIEs’ Subsidiaries)</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809" w:type="dxa"/>
            <w:tcBorders/>
            <w:shd w:fill="auto" w:val="clear"/>
            <w:vAlign w:val="center"/>
          </w:tcPr>
          <w:p>
            <w:pPr>
              <w:pStyle w:val="TableContents"/>
              <w:spacing w:before="0" w:after="1"/>
              <w:ind w:left="0" w:right="0" w:hanging="0"/>
              <w:jc w:val="center"/>
              <w:rPr/>
            </w:pPr>
            <w:r>
              <w:rPr/>
              <w:t>  </w:t>
            </w:r>
          </w:p>
        </w:tc>
        <w:tc>
          <w:tcPr>
            <w:tcW w:w="566" w:type="dxa"/>
            <w:tcBorders/>
            <w:shd w:fill="auto" w:val="clear"/>
            <w:vAlign w:val="center"/>
          </w:tcPr>
          <w:p>
            <w:pPr>
              <w:pStyle w:val="TableContents"/>
              <w:spacing w:before="0" w:after="1"/>
              <w:ind w:left="0" w:right="0" w:hanging="0"/>
              <w:rPr/>
            </w:pPr>
            <w:r>
              <w:rPr/>
              <w:t>​</w:t>
            </w:r>
          </w:p>
        </w:tc>
        <w:tc>
          <w:tcPr>
            <w:tcW w:w="890" w:type="dxa"/>
            <w:tcBorders/>
            <w:shd w:fill="auto" w:val="clear"/>
            <w:vAlign w:val="center"/>
          </w:tcPr>
          <w:p>
            <w:pPr>
              <w:pStyle w:val="TableContents"/>
              <w:spacing w:before="0" w:after="1"/>
              <w:ind w:left="0" w:right="0" w:hanging="0"/>
              <w:jc w:val="center"/>
              <w:rPr/>
            </w:pPr>
            <w:r>
              <w:rPr/>
              <w:t>​</w:t>
            </w:r>
          </w:p>
        </w:tc>
      </w:tr>
      <w:tr>
        <w:trPr/>
        <w:tc>
          <w:tcPr>
            <w:tcW w:w="438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Beijing Xiaoju Science and Technology Co., Ltd.</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PRC, July 10, 2012</w:t>
            </w:r>
          </w:p>
        </w:tc>
        <w:tc>
          <w:tcPr>
            <w:tcW w:w="326" w:type="dxa"/>
            <w:tcBorders/>
            <w:shd w:fill="CCEEFF" w:val="clear"/>
            <w:vAlign w:val="center"/>
          </w:tcPr>
          <w:p>
            <w:pPr>
              <w:pStyle w:val="TableContents"/>
              <w:spacing w:before="0" w:after="1"/>
              <w:ind w:left="0" w:right="0" w:hanging="0"/>
              <w:rPr/>
            </w:pPr>
            <w:r>
              <w:rPr/>
              <w:t> </w:t>
            </w:r>
          </w:p>
        </w:tc>
        <w:tc>
          <w:tcPr>
            <w:tcW w:w="80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DiDi Chuxing Science and Technology Co., Ltd.</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PRC, July 29, 2015</w:t>
            </w:r>
          </w:p>
        </w:tc>
        <w:tc>
          <w:tcPr>
            <w:tcW w:w="326" w:type="dxa"/>
            <w:tcBorders/>
            <w:shd w:fill="auto" w:val="clear"/>
            <w:vAlign w:val="center"/>
          </w:tcPr>
          <w:p>
            <w:pPr>
              <w:pStyle w:val="TableContents"/>
              <w:spacing w:before="0" w:after="1"/>
              <w:ind w:left="0" w:right="0" w:hanging="0"/>
              <w:rPr/>
            </w:pPr>
            <w:r>
              <w:rPr/>
              <w:t> </w:t>
            </w:r>
          </w:p>
        </w:tc>
        <w:tc>
          <w:tcPr>
            <w:tcW w:w="80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auto" w:val="clear"/>
            <w:vAlign w:val="center"/>
          </w:tcPr>
          <w:p>
            <w:pPr>
              <w:pStyle w:val="TableContents"/>
              <w:spacing w:before="0" w:after="1"/>
              <w:ind w:left="0" w:right="0" w:hanging="0"/>
              <w:rPr/>
            </w:pPr>
            <w:r>
              <w:rPr/>
              <w:t>​</w:t>
            </w:r>
          </w:p>
        </w:tc>
        <w:tc>
          <w:tcPr>
            <w:tcW w:w="890"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r>
        <w:trPr/>
        <w:tc>
          <w:tcPr>
            <w:tcW w:w="438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Beijing DiDi Chuxing Technology Co., Ltd.</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PRC, December 5, 2018</w:t>
            </w:r>
          </w:p>
        </w:tc>
        <w:tc>
          <w:tcPr>
            <w:tcW w:w="326" w:type="dxa"/>
            <w:tcBorders/>
            <w:shd w:fill="CCEEFF" w:val="clear"/>
            <w:vAlign w:val="center"/>
          </w:tcPr>
          <w:p>
            <w:pPr>
              <w:pStyle w:val="TableContents"/>
              <w:spacing w:before="0" w:after="1"/>
              <w:ind w:left="0" w:right="0" w:hanging="0"/>
              <w:rPr/>
            </w:pPr>
            <w:r>
              <w:rPr/>
              <w:t> </w:t>
            </w:r>
          </w:p>
        </w:tc>
        <w:tc>
          <w:tcPr>
            <w:tcW w:w="80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566" w:type="dxa"/>
            <w:tcBorders/>
            <w:shd w:fill="CCEEFF" w:val="clear"/>
            <w:vAlign w:val="center"/>
          </w:tcPr>
          <w:p>
            <w:pPr>
              <w:pStyle w:val="TableContents"/>
              <w:spacing w:before="0" w:after="1"/>
              <w:ind w:left="0" w:right="0" w:hanging="0"/>
              <w:rPr/>
            </w:pPr>
            <w:r>
              <w:rPr/>
              <w:t>​</w:t>
            </w:r>
          </w:p>
        </w:tc>
        <w:tc>
          <w:tcPr>
            <w:tcW w:w="890"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100%</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restrictions imposed by PRC laws and regulations on foreign ownership of companies engaged in value-added telecommunication services and certain other internet-based businesses, the Group operates its platforms and other restricted business in the PRC through certain PRC domestic companies, whose equity interests are held by nominee shareholders including certain management members of the Group (“Nominee Shareholders”). The Company and its subsidiaries enter into a series of contractual agreements, including power of attorney, exclusive option agreements, exclusive business cooperation agreements, equity pledge agreements, and other operating agreements, with these PRC domestic companies and their respective Nominee Shareholders. These contractual agreements can be extended at the relevant PRC subsidiaries’ options prior to the expiration date. As a result, the Company (i) has the power to direct activities of the VIEs that most significantly impact their economic performance, (ii) has the right to receive economic benefits from these PRC domestic companies that could potentially be significant to them. Management concluded that these PRC domestic companies are VIEs of the Company, of which certain PRC subsidiaries of the Company are considered the primary beneficiary for accounting purposes. As such, the Group consolidated the financial results of these PRC domestic companies and their subsidiaries in the Group’s consolidated financial statements under U.S. GAAP. Refer to Note 3.2 to the consolidated financial statements for the basis of consolidation.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the major contractual agreements (collectively, “Contractual Agreements”) that the Company, through its subsidiaries, entered into with the PRC domestic companies and their respective Nominee Shareholders: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Contractual agreements with VIEs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Power of Attorney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power of attorney agreements among the Wholly Foreign Owned Enterprises (“WFOE”s), the VIEs and their respective Nominee Shareholders, each Nominee Shareholder of the VIEs irrevocably undertakes to appoint the WFOE, as the attorney-in-fact to exercise all of the rights as a shareholder of the VIEs, including, but not limited to, the right to convene and attend shareholders’ meeting, vote on any resolution that requires a shareholder vote, such as appoint or remove directors and other senior management, and other voting rights pursuant to the articles of association (subject to the amendments) of the VIEs. Each power of attorney agreement is irrevocable and remains in effect as long as the Nominee Shareholder continues to be a shareholder of the VIEs. Unless otherwise required by PRC Laws, none of the VIEs or their respective Nominee Shareholders can unilaterally terminate this agreement.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Exclusive Option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exclusive option agreements among WFOEs, the VIEs and their respective Nominee Shareholders, the Nominee Shareholders granted WFOEs exclusive right to purchase, when and to the extent permitted under PRC law, all or part of the equity interests from shareholders of VIEs. The exercise price for the options to purchase all or part of the equity interests shall be the minimum amount of consideration permissible under then applicable PRC law. The agreements will remain effective until all the equity interest in VIEs held by their respective shareholders have been transferred or assigned to WFOEs and/or any other person designated by WFOEs, or remain effective for a specified period as agreed by the parties which can be extended unilaterally by WFOEs. Unless otherwise required by PRC Laws, the VIEs or their respective Nominee Shareholders shall not unilaterally terminate this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Exclusive Business Corporation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exclusive business cooperation agreements among the WFOEs and the VIEs, respectively, the WFOEs have the exclusive right to provide the VIEs with services related to, among other things, comprehensive technical support, professional training, consulting, marketing and promotional services. Without prior written consent of the WFOEs, the VIEs agree not to directly or indirectly accept the same or any similar services provided by any others regarding the matters ascribed by the exclusive business cooperation agreements. The VIEs agree to pay the WFOEs services fees, which shall be determined by the WFOEs. The WFOEs have the exclusive ownership of intellectual property rights created as a result of the performance of the agreements. The agreements shall remain effective except that the WFOEs are entitled to terminate the agreements in writing. Unless otherwise required by PRC Laws, the VIEs shall not unilaterally terminate this agreement.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Pledge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equity pledge agreements among the WFOEs, the VIEs and their respective Nominee Shareholders, the Nominee Shareholders of the VIEs pledged all of their respective equity interests in the VIEs to the WFOEs as collaterals for performance of the obligations of the VIEs and their Nominee Shareholders under the exclusive business cooperation agreements, the power of attorney agreements, and the exclusive option agreements. The Nominee Shareholders of the VIEs also undertake that, during the term of the equity pledge agreements, unless otherwise approved by the WFOEs in writing, they will not transfer the pledged equity interests or create or allow any new pledge or other encumbrance on the pledged equity interests. These equity pledge agreements remain in force until VIEs and their respective Nominee Shareholders discharge all their obligations under the contractual agreements.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Spousal Consent Letters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spousal consent letters, the spouses of some of the individual Nominee Shareholders of the VIEs unconditionally and irrevocably agree that the equity interest in the VIEs held by and registered in the name of his or her respective spouse will be disposed of pursuant to the relevant exclusive business cooperation agreements, equity pledge agreements, the exclusive option agreements and the power of attorney agreements, without his or her consent. In addition, each of them agrees not to assert any rights over the equity interest in the VIEs held by their respective spouses.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 Risks in relation to the VIE structure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Part of the Group’s business is conducted through the VIEs of the Group, of which certain PRC subsidiaries of the Company are considered the primary beneficiary for accounting purposes. The Company has concluded that (i) the ownership structure of the VIEs is not in violation of any applicable PRC laws or regulations currently in effect and (ii) each of the VIE Contractual Agreements is valid, binding and enforceable in accordance with their terms and applicable PRC laws or regulations currently in effect, and does not result in any violation of the applicable PRC laws or regulations currently in effect. However, the Group has been further advised by its PRC legal counsel that uncertainty remains because current PRC laws and regulations were recently promulgated and how they will be interpreted or implemented depends on the implementation rules to be promulgated by the relevant regulators, and further, that there are uncertainties due to possible future changes in PRC laws and regulations. As a result, the Company may be unable to consolidate the VIEs and VIEs’ subsidiaries in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whether the Group’s corporate structure will be seen as violating the foreign investment rules as the Group is currently leveraging the contractual arrangements to operate certain business in which foreign investors are prohibited from or restricted to investing. If variable interest entities fall within the definition of foreign investment entities, the Group’s ability to use the contractual arrangements with its VIEs and the Group’s ability to conduct business through the VIEs could be severely limited.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PRC government otherwise finds that the Group in violation of any existing or future PRC laws or regulations or lacks the necessary permits or licenses to operate the business, the Group’s relevant PRC regulatory authorities could:</w:t>
      </w:r>
    </w:p>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the business licenses and/or operating licenses of the Group’s PRC entities;</w:t>
            </w:r>
          </w:p>
        </w:tc>
      </w:tr>
    </w:tbl>
    <w:tbl>
      <w:tblPr>
        <w:tblW w:w="1611" w:type="dxa"/>
        <w:jc w:val="left"/>
        <w:tblInd w:w="0" w:type="dxa"/>
        <w:tblCellMar>
          <w:top w:w="28" w:type="dxa"/>
          <w:left w:w="28" w:type="dxa"/>
          <w:bottom w:w="28" w:type="dxa"/>
          <w:right w:w="28" w:type="dxa"/>
        </w:tblCellMar>
      </w:tblPr>
      <w:tblGrid>
        <w:gridCol w:w="124"/>
        <w:gridCol w:w="256"/>
        <w:gridCol w:w="1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fines;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confiscate any income that they deem to be obtained through illegal operations, or impose other requirements with which the Group may not be able to comply;</w:t>
            </w:r>
          </w:p>
        </w:tc>
      </w:tr>
    </w:tbl>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 or place restrictions or onerous conditions on the Group’s operations;</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restrictions on the right to collect revenues;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 down the Group’s servers or block the Group’s mobile app;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restructure ownership structure or operations, including terminating the contractual arrangements with the VIEs and deregistering the equity pledges of the VIEs, which in turn would affect the ability to consolidate the financial results of and derive economic interests from the VIEs and their subsidiaries;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or prohibit the use of the proceeds from financing activities to finance the business and operations of the VIEs and their subsidiaries; or</w:t>
            </w:r>
          </w:p>
        </w:tc>
      </w:tr>
    </w:tbl>
    <w:tbl>
      <w:tblPr>
        <w:tblW w:w="7881" w:type="dxa"/>
        <w:jc w:val="left"/>
        <w:tblInd w:w="0" w:type="dxa"/>
        <w:tblCellMar>
          <w:top w:w="28" w:type="dxa"/>
          <w:left w:w="28" w:type="dxa"/>
          <w:bottom w:w="28" w:type="dxa"/>
          <w:right w:w="28" w:type="dxa"/>
        </w:tblCellMar>
      </w:tblPr>
      <w:tblGrid>
        <w:gridCol w:w="124"/>
        <w:gridCol w:w="256"/>
        <w:gridCol w:w="7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other regulatory or enforcement actions that could be harmful to the Group’s business.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Variable interest entities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its economic benefits, the Group would no longer be able to consolidate the VIEs.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it may lead to changes in PRC laws, regulations and policies or in the interpretation and application of existing laws, regulations and policies, which may limit legal protections available to the Group to enforce the contractual arrangements should the VIEs or the Nominee Shareholders of the VIEs fail to perform their obligations under those arrangements. The enforceability, and therefore the benefits, of the contractual agreements between the Company and the VIEs depend on Nominee Shareholders enforcing the contracts. There is a risk that Nominee shareholders of VIEs, who in some cases are also shareholders of the Company may have conflict of interests with the Company in the future or fail to perform their contractual obligations. Given the significance and importance of the VIEs, there would be a significant negative impact to the Company if these contracts were not enforced.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depend on the VIEs to honor their contractual agreements with the Group. The Company’s ability to direct activities of the VIEs that most significantly impact their economic performance and the Company’s right to receive the economic benefits that could potentially be significant to the VIEs depend on the authorization by the shareholders of the VIEs to exercise voting rights on all matters requiring shareholder approval in the VIEs. The Company believes that the agreements on authorization to exercise shareholder’s voting power are enforceable against each party thereto in accordance with their terms and applicable PRC laws or regulations currently in effect and the possibility that it will no longer be able to consolidate the VIEs as a result of the aforementioned risks and uncertainties is remote.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 Summary financial information of the Group’s VIEs (inclusive of VIEs’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accordance with VIE Contractual Agreements, the Company (1) has the power to direct activities of the VIEs that most significantly impact their economic performance, and (2) has the right to receive economic benefits from the VIEs that could potentially be significant to them. Accordingly, certain PRC subsidiaries of the Company are considered the primary beneficiaries of the VIEs and their subsidiaries for accounting purposes, and the Company has consolidated the financial results of these companies in its consolidated financial statements under U.S. GAAP. Therefore, the Company considers that there are no assets in the VIEs that can be used only to settle obligations of the VIEs, except for the registered capital of the VIEs amounting to approximately RMB13,444,434 and RMB14,357,869 as of December 31, 2021 and 2022, as well as certain non-distributable statutory reserves amounting to approximately RMB23,808 and RMB64,034 as of December 31, 2021 and 2022. As the VIEs are incorporated as limited liability companies under the PRC Company Law, creditors normally do not have recourse to the general credit of the Company for the liabilities of the VIEs. There is currently no contractual arrangement that would force the Company to provide additional financial support to the VIEs. As the Group is conducting certain business in the PRC through the VIEs, the Group may provide additional financial support on a discretionary basis in the future, which could expose the Group to a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VIEs hold assets with no carrying value in the consolidated balance sheet that are important to the Company’s ability to produce revenue (referred to as unrecognized revenue-producing assets). Unrecognized revenue-producing assets held by the VIEs include online ride hailing operation permits for certain cities, Internet Content Provision License (“ICP licenses”), certain value-added telecommunications service licenses for internet data center services, etc, the domain names of didiglobal.com and so on. Recognized revenue-producing assets including non-compete agreements, patents and trademark which were acquired through the previous acquisitions are held by WFOEs or other subsidiaries.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i w:val="false"/>
          <w:caps w:val="false"/>
          <w:smallCaps w:val="false"/>
          <w:sz w:val="20"/>
        </w:rPr>
      </w:pPr>
      <w:bookmarkStart w:id="1704" w:name="Tc_xI4uD53J-Eu7TPN-8qOLDg_23_0"/>
      <w:bookmarkStart w:id="1705" w:name="Tc_NOqsyOAgaUim3McGFRLuDA_22_0"/>
      <w:bookmarkStart w:id="1706" w:name="Tc_S9I4g4E6TE2uQCc37DlraA_21_0"/>
      <w:bookmarkStart w:id="1707" w:name="Tc_gHB_9E41rkWr1DdULi1yJA_20_0"/>
      <w:bookmarkStart w:id="1708" w:name="Tc_IcdFt4hJOUyBcI3hiij7rw_19_0"/>
      <w:bookmarkStart w:id="1709" w:name="Tc_t5iZnX2WN06lgXOGevra7A_18_0"/>
      <w:bookmarkStart w:id="1710" w:name="Tc_mt7BqeGPQUONveko_irq6w_17_0"/>
      <w:bookmarkStart w:id="1711" w:name="Tc_cWSoUQNMPUO2lOzxyV2m4A_16_0"/>
      <w:bookmarkStart w:id="1712" w:name="Tc_Woi9nvcf5UWLPHa9EScWPQ_15_0"/>
      <w:bookmarkStart w:id="1713" w:name="Tc_Vv9RVCMg2UiNrcCIdy675w_14_0"/>
      <w:bookmarkStart w:id="1714" w:name="Tc_Ex7w-I-4L0240UfHyD5dyw_13_0"/>
      <w:bookmarkStart w:id="1715" w:name="Tc_8bd9nitYKE6oScdrWV162w_12_0"/>
      <w:bookmarkStart w:id="1716" w:name="Tc_OjkukWPoWUOlXqI2zw357w_11_0"/>
      <w:bookmarkStart w:id="1717" w:name="Tc_ZfJ80k0MqEqs405GEYd7-A_10_0"/>
      <w:bookmarkStart w:id="1718" w:name="Tc_XPUCK2ngrESW5HWWeGJuGQ_9_0"/>
      <w:bookmarkStart w:id="1719" w:name="Tc_4m32fDi1NEaQTmHB1ALczg_8_0"/>
      <w:bookmarkStart w:id="1720" w:name="Tc_9GHqPBpLiUaKMoIjEo1Q2Q_7_0"/>
      <w:bookmarkStart w:id="1721" w:name="Tc_-FlJJU0yi0OW-jnbAklZSw_6_0"/>
      <w:bookmarkStart w:id="1722" w:name="Tc_ur4pyy7RdkSFarteoTAcvg_5_0"/>
      <w:bookmarkStart w:id="1723" w:name="Tc_65iKccdpLkSgE3SiVTA1gA_4_0"/>
      <w:bookmarkStart w:id="1724" w:name="Tc_w13ZbGLLOE2i3YIZgie6xg_3_4"/>
      <w:bookmarkStart w:id="1725" w:name="Tc_RRYgxQptd0ijuqUlxCybLA_3_2"/>
      <w:bookmarkStart w:id="1726" w:name="Tc_rTFSIaoR2UCxuqTFcMcIPA_2_4"/>
      <w:bookmarkStart w:id="1727" w:name="Tc_lmaafLJrr0e5lulPgSxxWw_2_2"/>
      <w:bookmarkStart w:id="1728" w:name="Tc_OfZokmooCEand6-e20h7uw_1_2"/>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r>
        <w:rPr>
          <w:rFonts w:ascii="Times New Roman;Times;serif" w:hAnsi="Times New Roman;Times;serif"/>
          <w:b/>
          <w:i w:val="false"/>
          <w:caps w:val="false"/>
          <w:smallCaps w:val="false"/>
          <w:sz w:val="20"/>
        </w:rPr>
        <w:t>2. Variable interest entities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tables set forth the financial statement balances and amounts of the VIEs and their subsidiaries included in the consolidated financial statements after the elimination of intercompany balances and transactions among VIEs and their subsidiaries within the Group.</w:t>
      </w:r>
    </w:p>
    <w:p>
      <w:pPr>
        <w:pStyle w:val="TextBody"/>
        <w:spacing w:before="0" w:after="0"/>
        <w:ind w:left="0" w:right="0" w:hanging="0"/>
        <w:rPr/>
      </w:pPr>
      <w:r>
        <w:rPr/>
        <w:t>​</w:t>
      </w:r>
    </w:p>
    <w:tbl>
      <w:tblPr>
        <w:tblW w:w="7360" w:type="dxa"/>
        <w:jc w:val="left"/>
        <w:tblInd w:w="0" w:type="dxa"/>
        <w:tblCellMar>
          <w:top w:w="0" w:type="dxa"/>
          <w:left w:w="0" w:type="dxa"/>
          <w:bottom w:w="0" w:type="dxa"/>
          <w:right w:w="0" w:type="dxa"/>
        </w:tblCellMar>
      </w:tblPr>
      <w:tblGrid>
        <w:gridCol w:w="4351"/>
        <w:gridCol w:w="326"/>
        <w:gridCol w:w="1156"/>
        <w:gridCol w:w="326"/>
        <w:gridCol w:w="1201"/>
      </w:tblGrid>
      <w:tr>
        <w:trPr/>
        <w:tc>
          <w:tcPr>
            <w:tcW w:w="4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762885" cy="175260"/>
                      <wp:effectExtent l="0" t="0" r="0" b="0"/>
                      <wp:wrapNone/>
                      <wp:docPr id="419" name="Frame412"/>
                      <a:graphic xmlns:a="http://schemas.openxmlformats.org/drawingml/2006/main">
                        <a:graphicData uri="http://schemas.microsoft.com/office/word/2010/wordprocessingShape">
                          <wps:wsp>
                            <wps:cNvSpPr txBox="1"/>
                            <wps:spPr>
                              <a:xfrm>
                                <a:off x="0" y="0"/>
                                <a:ext cx="2762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0" name="Frame4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34060" cy="175260"/>
                      <wp:effectExtent l="0" t="0" r="0" b="0"/>
                      <wp:wrapNone/>
                      <wp:docPr id="421" name="Frame414"/>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2"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62635" cy="175260"/>
                      <wp:effectExtent l="0" t="0" r="0" b="0"/>
                      <wp:wrapNone/>
                      <wp:docPr id="423" name="Frame416"/>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18,499,058</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5,558,835</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108,223</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739,355</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w:t>
              <w:noBreakHyphen/>
              <w:t>term investments</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764,343</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2,911,180</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and notes receivable, net</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1,622,379</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1,353,038</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receivable, net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1,426,244</w:t>
            </w:r>
          </w:p>
        </w:tc>
        <w:tc>
          <w:tcPr>
            <w:tcW w:w="326" w:type="dxa"/>
            <w:tcBorders/>
            <w:shd w:fill="CCEEFF" w:val="clear"/>
            <w:vAlign w:val="center"/>
          </w:tcPr>
          <w:p>
            <w:pPr>
              <w:pStyle w:val="TableContents"/>
              <w:spacing w:before="0" w:after="1"/>
              <w:ind w:left="0" w:right="0" w:hanging="0"/>
              <w:rPr/>
            </w:pPr>
            <w:r>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2,073,477</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Amounts due from the Company and its subsidiaries</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20,730,377</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29,306,180</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securities and other investments</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4,708,537</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2,215,533</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investments, net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3,064,399</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3,225,203</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349,510</w:t>
            </w:r>
          </w:p>
        </w:tc>
        <w:tc>
          <w:tcPr>
            <w:tcW w:w="326" w:type="dxa"/>
            <w:tcBorders/>
            <w:shd w:fill="CCEEFF" w:val="clear"/>
            <w:vAlign w:val="center"/>
          </w:tcPr>
          <w:p>
            <w:pPr>
              <w:pStyle w:val="TableContents"/>
              <w:spacing w:before="0" w:after="1"/>
              <w:ind w:left="0" w:right="0" w:hanging="0"/>
              <w:rPr/>
            </w:pPr>
            <w:r>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273,753</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514,838</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462,485</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 net</w:t>
            </w:r>
          </w:p>
        </w:tc>
        <w:tc>
          <w:tcPr>
            <w:tcW w:w="326" w:type="dxa"/>
            <w:tcBorders/>
            <w:shd w:fill="CCEEFF" w:val="clear"/>
            <w:vAlign w:val="center"/>
          </w:tcPr>
          <w:p>
            <w:pPr>
              <w:pStyle w:val="TableContents"/>
              <w:spacing w:before="0" w:after="1"/>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1,329,105</w:t>
            </w:r>
          </w:p>
        </w:tc>
        <w:tc>
          <w:tcPr>
            <w:tcW w:w="326" w:type="dxa"/>
            <w:tcBorders/>
            <w:shd w:fill="CCEEFF" w:val="clear"/>
            <w:vAlign w:val="center"/>
          </w:tcPr>
          <w:p>
            <w:pPr>
              <w:pStyle w:val="TableContents"/>
              <w:spacing w:before="0" w:after="1"/>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1,275,757</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1"/>
              <w:ind w:left="0" w:right="0" w:hanging="0"/>
              <w:rPr/>
            </w:pPr>
            <w:r>
              <w:rPr/>
              <w:t> </w:t>
            </w:r>
          </w:p>
        </w:tc>
        <w:tc>
          <w:tcPr>
            <w:tcW w:w="1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53,117,013</w:t>
            </w:r>
          </w:p>
        </w:tc>
        <w:tc>
          <w:tcPr>
            <w:tcW w:w="326" w:type="dxa"/>
            <w:tcBorders/>
            <w:shd w:fill="auto" w:val="clear"/>
            <w:vAlign w:val="center"/>
          </w:tcPr>
          <w:p>
            <w:pPr>
              <w:pStyle w:val="TableContents"/>
              <w:spacing w:before="0" w:after="1"/>
              <w:ind w:left="0" w:right="0" w:hanging="0"/>
              <w:rPr/>
            </w:pPr>
            <w:r>
              <w:rPr/>
              <w:t> </w:t>
            </w:r>
          </w:p>
        </w:tc>
        <w:tc>
          <w:tcPr>
            <w:tcW w:w="12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49,394,796</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w:t>
              <w:noBreakHyphen/>
              <w:t>term borrowings</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824,964</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199,807</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and notes payable</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3,706,079</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2,672,716</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Amounts due to the Company and its subsidiaries</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58,675,506</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63,721,620</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238,261</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274,150</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spacing w:before="0" w:after="1"/>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6,094,576</w:t>
            </w:r>
          </w:p>
        </w:tc>
        <w:tc>
          <w:tcPr>
            <w:tcW w:w="326" w:type="dxa"/>
            <w:tcBorders/>
            <w:shd w:fill="CCEEFF" w:val="clear"/>
            <w:vAlign w:val="center"/>
          </w:tcPr>
          <w:p>
            <w:pPr>
              <w:pStyle w:val="TableContents"/>
              <w:spacing w:before="0" w:after="1"/>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4,735,651</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1"/>
              <w:ind w:left="0" w:right="0" w:hanging="0"/>
              <w:rPr/>
            </w:pPr>
            <w:r>
              <w:rPr/>
              <w:t>​</w:t>
            </w:r>
          </w:p>
        </w:tc>
        <w:tc>
          <w:tcPr>
            <w:tcW w:w="1156"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69,539,386</w:t>
            </w:r>
          </w:p>
        </w:tc>
        <w:tc>
          <w:tcPr>
            <w:tcW w:w="326" w:type="dxa"/>
            <w:tcBorders/>
            <w:shd w:fill="auto" w:val="clear"/>
            <w:vAlign w:val="center"/>
          </w:tcPr>
          <w:p>
            <w:pPr>
              <w:pStyle w:val="TableContents"/>
              <w:spacing w:before="0" w:after="1"/>
              <w:ind w:left="0" w:right="0" w:hanging="0"/>
              <w:rPr/>
            </w:pPr>
            <w:r>
              <w:rPr/>
              <w:t>​</w:t>
            </w:r>
          </w:p>
        </w:tc>
        <w:tc>
          <w:tcPr>
            <w:tcW w:w="120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71,603,944</w:t>
            </w:r>
          </w:p>
        </w:tc>
      </w:tr>
      <w:tr>
        <w:trPr/>
        <w:tc>
          <w:tcPr>
            <w:tcW w:w="43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Shareholders’ deficit of VIEs</w:t>
            </w:r>
          </w:p>
        </w:tc>
        <w:tc>
          <w:tcPr>
            <w:tcW w:w="326" w:type="dxa"/>
            <w:tcBorders/>
            <w:shd w:fill="CCEEFF" w:val="clear"/>
            <w:vAlign w:val="center"/>
          </w:tcPr>
          <w:p>
            <w:pPr>
              <w:pStyle w:val="TableContents"/>
              <w:spacing w:before="0" w:after="1"/>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(16,422,373)</w:t>
            </w:r>
          </w:p>
        </w:tc>
        <w:tc>
          <w:tcPr>
            <w:tcW w:w="326" w:type="dxa"/>
            <w:tcBorders/>
            <w:shd w:fill="CCEEFF" w:val="clear"/>
            <w:vAlign w:val="center"/>
          </w:tcPr>
          <w:p>
            <w:pPr>
              <w:pStyle w:val="TableContents"/>
              <w:spacing w:before="0" w:after="1"/>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(22,209,148)</w:t>
            </w:r>
          </w:p>
        </w:tc>
      </w:tr>
      <w:tr>
        <w:trPr/>
        <w:tc>
          <w:tcPr>
            <w:tcW w:w="43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 and shareholders’ deficit of VIEs</w:t>
            </w:r>
          </w:p>
        </w:tc>
        <w:tc>
          <w:tcPr>
            <w:tcW w:w="326" w:type="dxa"/>
            <w:tcBorders/>
            <w:shd w:fill="auto" w:val="clear"/>
            <w:vAlign w:val="center"/>
          </w:tcPr>
          <w:p>
            <w:pPr>
              <w:pStyle w:val="TableContents"/>
              <w:spacing w:before="0" w:after="1"/>
              <w:ind w:left="0" w:right="0" w:hanging="0"/>
              <w:rPr/>
            </w:pPr>
            <w:r>
              <w:rPr/>
              <w:t> </w:t>
            </w:r>
          </w:p>
        </w:tc>
        <w:tc>
          <w:tcPr>
            <w:tcW w:w="1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53,117,013</w:t>
            </w:r>
          </w:p>
        </w:tc>
        <w:tc>
          <w:tcPr>
            <w:tcW w:w="326" w:type="dxa"/>
            <w:tcBorders/>
            <w:shd w:fill="auto" w:val="clear"/>
            <w:vAlign w:val="center"/>
          </w:tcPr>
          <w:p>
            <w:pPr>
              <w:pStyle w:val="TableContents"/>
              <w:spacing w:before="0" w:after="1"/>
              <w:ind w:left="0" w:right="0" w:hanging="0"/>
              <w:rPr/>
            </w:pPr>
            <w:r>
              <w:rPr/>
              <w:t> </w:t>
            </w:r>
          </w:p>
        </w:tc>
        <w:tc>
          <w:tcPr>
            <w:tcW w:w="12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49,394,796</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bookmarkStart w:id="1729" w:name="Tc_xYanIpZaZEyuWcvpnmD-Gg_29_0"/>
      <w:bookmarkStart w:id="1730" w:name="Tc_IlZFAKTnN0egR_K0ueSPZw_28_0"/>
      <w:bookmarkStart w:id="1731" w:name="Tc_T2pL2jCgekWcoaTB1ejuSA_27_0"/>
      <w:bookmarkStart w:id="1732" w:name="Tc_fuo5HV7w4ECEOpJ2DFunIA_26_0"/>
      <w:bookmarkStart w:id="1733" w:name="Tc_SOogMTX350iQva9yafzv6g_25_0"/>
      <w:bookmarkStart w:id="1734" w:name="Tc_g7uteIdAnk6TZkdqZ4nxyw_24_0"/>
      <w:bookmarkStart w:id="1735" w:name="Tc_QxVM4YZkZUuut84Aw6cDDA_23_6"/>
      <w:bookmarkStart w:id="1736" w:name="Tc_1hl6Zp3XWUqh_DYCNRBc1A_23_4"/>
      <w:bookmarkStart w:id="1737" w:name="Tc_vIGX-kEUJEOX6H9VBY_P2A_23_0"/>
      <w:bookmarkStart w:id="1738" w:name="Tc_BDI0NLYK2UO8UWcXmeJB6w_22_0"/>
      <w:bookmarkStart w:id="1739" w:name="Tc_4Nvzwb6s00S3D2A0ycHiMg_21_0"/>
      <w:bookmarkStart w:id="1740" w:name="Tc_v1y94s1c2kKu1A2awYOH4Q_20_0"/>
      <w:bookmarkStart w:id="1741" w:name="Tc_0rvJUcV3RUOT7OmqLYG28Q_19_6"/>
      <w:bookmarkStart w:id="1742" w:name="Tc_vrg1hFJUqkKUwlbn0qLD_Q_19_4"/>
      <w:bookmarkStart w:id="1743" w:name="Tc_OnmIMd5GJUaBCDLkprHT2Q_19_2"/>
      <w:bookmarkStart w:id="1744" w:name="Tc_vB7NUgpvVE6jcmpEGNngTQ_18_6"/>
      <w:bookmarkStart w:id="1745" w:name="Tc_B0bHJ2RwfU-67pCrrs0VVg_18_4"/>
      <w:bookmarkStart w:id="1746" w:name="Tc_nZgCspwZtEyDmTEy4yPhVg_18_2"/>
      <w:bookmarkStart w:id="1747" w:name="Tc_TJep4IVvVUmo4sQep__opA_17_2"/>
      <w:bookmarkStart w:id="1748" w:name="Tc_kYpR1r24W0OsqE_Y1slQJg_15_0"/>
      <w:bookmarkStart w:id="1749" w:name="Tc_Ev5jgYQelE2eXTzl7i_aMA_14_0"/>
      <w:bookmarkStart w:id="1750" w:name="Tc_Vf-swEWuiUuPfdzciEDdsA_13_0"/>
      <w:bookmarkStart w:id="1751" w:name="Tc_LFP5PkPxHkujAZZRXi725w_12_0"/>
      <w:bookmarkStart w:id="1752" w:name="Tc_tQb2BNpuokG2boICzzMaCg_11_0"/>
      <w:bookmarkStart w:id="1753" w:name="Tc_GnCmgrZJU0GHCi6k_FiLEQ_10_0"/>
      <w:bookmarkStart w:id="1754" w:name="Tc_JTm0iDFhOkKrkOD69eF2ug_9_0"/>
      <w:bookmarkStart w:id="1755" w:name="Tc_9RqXHWAKi0OT5hoMSkkEFA_8_0"/>
      <w:bookmarkStart w:id="1756" w:name="Tc_2i9n764HnkKounX6dKMkbw_7_0"/>
      <w:bookmarkStart w:id="1757" w:name="Tc_ZY8m0LPjh0-3uqI4AfJamg_6_0"/>
      <w:bookmarkStart w:id="1758" w:name="Tc_XNe38ga4O0OyxBP5UIEsdA_5_0"/>
      <w:bookmarkStart w:id="1759" w:name="Tc_HDmP1N98_0Cewg7HbnbaBw_4_0"/>
      <w:bookmarkStart w:id="1760" w:name="Tc_nW8RNND9REGxodQfwBD5nA_3_6"/>
      <w:bookmarkStart w:id="1761" w:name="Tc_yqT-j8cyPEu88FqP9eZyfA_3_4"/>
      <w:bookmarkStart w:id="1762" w:name="Tc_T5eVVwGgnEGFxhR-FD84Lg_3_2"/>
      <w:bookmarkStart w:id="1763" w:name="Tc_Ka8CZbVnEk6KB8ZXLyALFA_2_6"/>
      <w:bookmarkStart w:id="1764" w:name="Tc_dEyTZAiZVkaRMrgXpgJ_bQ_2_4"/>
      <w:bookmarkStart w:id="1765" w:name="Tc_MO9Vg1w0-0qffZkStVz4uA_2_2"/>
      <w:bookmarkStart w:id="1766" w:name="Tc_j1TTT7LUpU6UPXquZUMZxg_1_2"/>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r>
        <w:rPr>
          <w:rFonts w:ascii="Times New Roman;Times;serif" w:hAnsi="Times New Roman;Times;serif"/>
          <w:b/>
          <w:sz w:val="20"/>
        </w:rPr>
        <w:t>2. Variable interest entities (Continued)</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5418"/>
        <w:gridCol w:w="326"/>
        <w:gridCol w:w="1254"/>
        <w:gridCol w:w="326"/>
        <w:gridCol w:w="1254"/>
        <w:gridCol w:w="326"/>
        <w:gridCol w:w="1301"/>
      </w:tblGrid>
      <w:tr>
        <w:trPr/>
        <w:tc>
          <w:tcPr>
            <w:tcW w:w="54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440430" cy="175260"/>
                      <wp:effectExtent l="0" t="0" r="0" b="0"/>
                      <wp:wrapNone/>
                      <wp:docPr id="424" name="Frame417"/>
                      <a:graphic xmlns:a="http://schemas.openxmlformats.org/drawingml/2006/main">
                        <a:graphicData uri="http://schemas.microsoft.com/office/word/2010/wordprocessingShape">
                          <wps:wsp>
                            <wps:cNvSpPr txBox="1"/>
                            <wps:spPr>
                              <a:xfrm>
                                <a:off x="0" y="0"/>
                                <a:ext cx="3440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5"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796290" cy="175260"/>
                      <wp:effectExtent l="0" t="0" r="0" b="0"/>
                      <wp:wrapNone/>
                      <wp:docPr id="426" name="Frame419"/>
                      <a:graphic xmlns:a="http://schemas.openxmlformats.org/drawingml/2006/main">
                        <a:graphicData uri="http://schemas.microsoft.com/office/word/2010/wordprocessingShape">
                          <wps:wsp>
                            <wps:cNvSpPr txBox="1"/>
                            <wps:spPr>
                              <a:xfrm>
                                <a:off x="0" y="0"/>
                                <a:ext cx="796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7"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796290" cy="175260"/>
                      <wp:effectExtent l="0" t="0" r="0" b="0"/>
                      <wp:wrapNone/>
                      <wp:docPr id="428" name="Frame421"/>
                      <a:graphic xmlns:a="http://schemas.openxmlformats.org/drawingml/2006/main">
                        <a:graphicData uri="http://schemas.microsoft.com/office/word/2010/wordprocessingShape">
                          <wps:wsp>
                            <wps:cNvSpPr txBox="1"/>
                            <wps:spPr>
                              <a:xfrm>
                                <a:off x="0" y="0"/>
                                <a:ext cx="796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29" name="Frame4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826135" cy="175260"/>
                      <wp:effectExtent l="0" t="0" r="0" b="0"/>
                      <wp:wrapNone/>
                      <wp:docPr id="430" name="Frame423"/>
                      <a:graphic xmlns:a="http://schemas.openxmlformats.org/drawingml/2006/main">
                        <a:graphicData uri="http://schemas.microsoft.com/office/word/2010/wordprocessingShape">
                          <wps:wsp>
                            <wps:cNvSpPr txBox="1"/>
                            <wps:spPr>
                              <a:xfrm>
                                <a:off x="0" y="0"/>
                                <a:ext cx="826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46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3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Inter-company revenues</w:t>
            </w:r>
          </w:p>
        </w:tc>
        <w:tc>
          <w:tcPr>
            <w:tcW w:w="326" w:type="dxa"/>
            <w:tcBorders/>
            <w:shd w:fill="CCEEFF" w:val="clear"/>
            <w:vAlign w:val="center"/>
          </w:tcPr>
          <w:p>
            <w:pPr>
              <w:pStyle w:val="TableContents"/>
              <w:spacing w:before="0" w:after="1"/>
              <w:ind w:left="0" w:right="0" w:hanging="0"/>
              <w:jc w:val="center"/>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1,067,752</w:t>
            </w:r>
          </w:p>
        </w:tc>
        <w:tc>
          <w:tcPr>
            <w:tcW w:w="326" w:type="dxa"/>
            <w:tcBorders/>
            <w:shd w:fill="CCEEFF" w:val="clear"/>
            <w:vAlign w:val="center"/>
          </w:tcPr>
          <w:p>
            <w:pPr>
              <w:pStyle w:val="TableContents"/>
              <w:spacing w:before="0" w:after="1"/>
              <w:ind w:left="0" w:right="0" w:hanging="0"/>
              <w:jc w:val="center"/>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1,708,159</w:t>
            </w:r>
          </w:p>
        </w:tc>
        <w:tc>
          <w:tcPr>
            <w:tcW w:w="326" w:type="dxa"/>
            <w:tcBorders/>
            <w:shd w:fill="CCEEFF" w:val="clear"/>
            <w:vAlign w:val="center"/>
          </w:tcPr>
          <w:p>
            <w:pPr>
              <w:pStyle w:val="TableContents"/>
              <w:spacing w:before="0" w:after="1"/>
              <w:ind w:left="0" w:right="0" w:hanging="0"/>
              <w:jc w:val="center"/>
              <w:rPr/>
            </w:pPr>
            <w:r>
              <w:rPr/>
              <w:t>​</w:t>
            </w:r>
          </w:p>
        </w:tc>
        <w:tc>
          <w:tcPr>
            <w:tcW w:w="13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1,495,026</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Third-party revenues</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136,817,570</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166,603,236</w:t>
            </w:r>
          </w:p>
        </w:tc>
        <w:tc>
          <w:tcPr>
            <w:tcW w:w="326" w:type="dxa"/>
            <w:tcBorders/>
            <w:shd w:fill="auto" w:val="clear"/>
            <w:vAlign w:val="center"/>
          </w:tcPr>
          <w:p>
            <w:pPr>
              <w:pStyle w:val="TableContents"/>
              <w:spacing w:before="0" w:after="1"/>
              <w:ind w:left="0" w:right="0" w:hanging="0"/>
              <w:jc w:val="center"/>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130,742,593</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137,885,322</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168,311,395</w:t>
            </w:r>
          </w:p>
        </w:tc>
        <w:tc>
          <w:tcPr>
            <w:tcW w:w="326" w:type="dxa"/>
            <w:tcBorders/>
            <w:shd w:fill="CCEEFF" w:val="clear"/>
            <w:vAlign w:val="center"/>
          </w:tcPr>
          <w:p>
            <w:pPr>
              <w:pStyle w:val="TableContents"/>
              <w:spacing w:before="0" w:after="1"/>
              <w:ind w:left="0" w:right="0" w:hanging="0"/>
              <w:rPr/>
            </w:pPr>
            <w:r>
              <w:rPr/>
              <w:t> </w:t>
            </w:r>
          </w:p>
        </w:tc>
        <w:tc>
          <w:tcPr>
            <w:tcW w:w="13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132,237,619</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Inter-company costs and expenses</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(12,895,784)</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(15,320,699)</w:t>
            </w:r>
          </w:p>
        </w:tc>
        <w:tc>
          <w:tcPr>
            <w:tcW w:w="326" w:type="dxa"/>
            <w:tcBorders/>
            <w:shd w:fill="auto" w:val="clear"/>
            <w:vAlign w:val="center"/>
          </w:tcPr>
          <w:p>
            <w:pPr>
              <w:pStyle w:val="TableContents"/>
              <w:spacing w:before="0" w:after="1"/>
              <w:ind w:left="0" w:right="0" w:hanging="0"/>
              <w:rPr/>
            </w:pPr>
            <w:r>
              <w:rPr/>
              <w:t>​</w:t>
            </w:r>
          </w:p>
        </w:tc>
        <w:tc>
          <w:tcPr>
            <w:tcW w:w="13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(16,377,269)</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Third-party costs and expenses</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(127,117,980)</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(158,286,885)</w:t>
            </w:r>
          </w:p>
        </w:tc>
        <w:tc>
          <w:tcPr>
            <w:tcW w:w="326" w:type="dxa"/>
            <w:tcBorders/>
            <w:shd w:fill="CCEEFF" w:val="clear"/>
            <w:vAlign w:val="center"/>
          </w:tcPr>
          <w:p>
            <w:pPr>
              <w:pStyle w:val="TableContents"/>
              <w:spacing w:before="0" w:after="1"/>
              <w:ind w:left="0" w:right="0" w:hanging="0"/>
              <w:rPr/>
            </w:pPr>
            <w:r>
              <w:rPr/>
              <w:t>​</w:t>
            </w:r>
          </w:p>
        </w:tc>
        <w:tc>
          <w:tcPr>
            <w:tcW w:w="13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(116,770,993)</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(140,013,764)</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(173,607,584)</w:t>
            </w:r>
          </w:p>
        </w:tc>
        <w:tc>
          <w:tcPr>
            <w:tcW w:w="326" w:type="dxa"/>
            <w:tcBorders/>
            <w:shd w:fill="auto" w:val="clear"/>
            <w:vAlign w:val="center"/>
          </w:tcPr>
          <w:p>
            <w:pPr>
              <w:pStyle w:val="TableContents"/>
              <w:spacing w:before="0" w:after="1"/>
              <w:ind w:left="0" w:right="0" w:hanging="0"/>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(133,148,262)</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(2,128,442)</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(5,296,189)</w:t>
            </w:r>
          </w:p>
        </w:tc>
        <w:tc>
          <w:tcPr>
            <w:tcW w:w="326" w:type="dxa"/>
            <w:tcBorders/>
            <w:shd w:fill="CCEEFF" w:val="clear"/>
            <w:vAlign w:val="center"/>
          </w:tcPr>
          <w:p>
            <w:pPr>
              <w:pStyle w:val="TableContents"/>
              <w:spacing w:before="0" w:after="1"/>
              <w:ind w:left="0" w:right="0" w:hanging="0"/>
              <w:rPr/>
            </w:pPr>
            <w:r>
              <w:rPr/>
              <w:t>​</w:t>
            </w:r>
          </w:p>
        </w:tc>
        <w:tc>
          <w:tcPr>
            <w:tcW w:w="13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(910,643)</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from non-operations</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1,652,386</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(358,813)</w:t>
            </w:r>
          </w:p>
        </w:tc>
        <w:tc>
          <w:tcPr>
            <w:tcW w:w="326" w:type="dxa"/>
            <w:tcBorders/>
            <w:shd w:fill="auto" w:val="clear"/>
            <w:vAlign w:val="center"/>
          </w:tcPr>
          <w:p>
            <w:pPr>
              <w:pStyle w:val="TableContents"/>
              <w:spacing w:before="0" w:after="1"/>
              <w:ind w:left="0" w:right="0" w:hanging="0"/>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698,053</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before income tax expenses</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(476,056)</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(5,655,002)</w:t>
            </w:r>
          </w:p>
        </w:tc>
        <w:tc>
          <w:tcPr>
            <w:tcW w:w="326" w:type="dxa"/>
            <w:tcBorders/>
            <w:shd w:fill="CCEEFF" w:val="clear"/>
            <w:vAlign w:val="center"/>
          </w:tcPr>
          <w:p>
            <w:pPr>
              <w:pStyle w:val="TableContents"/>
              <w:spacing w:before="0" w:after="1"/>
              <w:ind w:left="0" w:right="0" w:hanging="0"/>
              <w:rPr/>
            </w:pPr>
            <w:r>
              <w:rPr/>
              <w:t>​</w:t>
            </w:r>
          </w:p>
        </w:tc>
        <w:tc>
          <w:tcPr>
            <w:tcW w:w="13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(212,590)</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(66,808)</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(302,047)</w:t>
            </w:r>
          </w:p>
        </w:tc>
        <w:tc>
          <w:tcPr>
            <w:tcW w:w="326" w:type="dxa"/>
            <w:tcBorders/>
            <w:shd w:fill="auto" w:val="clear"/>
            <w:vAlign w:val="center"/>
          </w:tcPr>
          <w:p>
            <w:pPr>
              <w:pStyle w:val="TableContents"/>
              <w:spacing w:before="0" w:after="1"/>
              <w:ind w:left="0" w:right="0" w:hanging="0"/>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(84,799)</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(542,864)</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(5,957,049)</w:t>
            </w:r>
          </w:p>
        </w:tc>
        <w:tc>
          <w:tcPr>
            <w:tcW w:w="326" w:type="dxa"/>
            <w:tcBorders/>
            <w:shd w:fill="CCEEFF" w:val="clear"/>
            <w:vAlign w:val="center"/>
          </w:tcPr>
          <w:p>
            <w:pPr>
              <w:pStyle w:val="TableContents"/>
              <w:spacing w:before="0" w:after="1"/>
              <w:ind w:left="0" w:right="0" w:hanging="0"/>
              <w:rPr/>
            </w:pPr>
            <w:r>
              <w:rPr/>
              <w:t> </w:t>
            </w:r>
          </w:p>
        </w:tc>
        <w:tc>
          <w:tcPr>
            <w:tcW w:w="13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(297,389)</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Net loss attributable to DiDi Global Inc. </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(542,864)</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(5,957,049)</w:t>
            </w:r>
          </w:p>
        </w:tc>
        <w:tc>
          <w:tcPr>
            <w:tcW w:w="326" w:type="dxa"/>
            <w:tcBorders/>
            <w:shd w:fill="auto" w:val="clear"/>
            <w:vAlign w:val="center"/>
          </w:tcPr>
          <w:p>
            <w:pPr>
              <w:pStyle w:val="TableContents"/>
              <w:spacing w:before="0" w:after="1"/>
              <w:ind w:left="0" w:right="0" w:hanging="0"/>
              <w:rPr/>
            </w:pPr>
            <w:r>
              <w:rPr/>
              <w:t>​</w:t>
            </w:r>
          </w:p>
        </w:tc>
        <w:tc>
          <w:tcPr>
            <w:tcW w:w="13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(297,389)</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01" w:type="dxa"/>
            <w:tcBorders/>
            <w:shd w:fill="auto" w:val="clear"/>
            <w:vAlign w:val="center"/>
          </w:tcPr>
          <w:p>
            <w:pPr>
              <w:pStyle w:val="TableContents"/>
              <w:spacing w:before="0" w:after="1"/>
              <w:ind w:left="0" w:right="0" w:hanging="0"/>
              <w:jc w:val="right"/>
              <w:rPr/>
            </w:pPr>
            <w:r>
              <w:rPr/>
              <w:t>​</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46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1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3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inter-company transactions</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(13,313,253)</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(1,212,002)</w:t>
            </w:r>
          </w:p>
        </w:tc>
        <w:tc>
          <w:tcPr>
            <w:tcW w:w="326" w:type="dxa"/>
            <w:tcBorders/>
            <w:shd w:fill="CCEEFF" w:val="clear"/>
            <w:vAlign w:val="center"/>
          </w:tcPr>
          <w:p>
            <w:pPr>
              <w:pStyle w:val="TableContents"/>
              <w:spacing w:before="0" w:after="1"/>
              <w:ind w:left="0" w:right="0" w:hanging="0"/>
              <w:rPr/>
            </w:pPr>
            <w:r>
              <w:rPr/>
              <w:t>​</w:t>
            </w:r>
          </w:p>
        </w:tc>
        <w:tc>
          <w:tcPr>
            <w:tcW w:w="13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(7,569,411)</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operating activities with external parties</w:t>
            </w:r>
          </w:p>
        </w:tc>
        <w:tc>
          <w:tcPr>
            <w:tcW w:w="326" w:type="dxa"/>
            <w:tcBorders/>
            <w:shd w:fill="auto" w:val="clear"/>
            <w:vAlign w:val="center"/>
          </w:tcPr>
          <w:p>
            <w:pPr>
              <w:pStyle w:val="TableContents"/>
              <w:spacing w:before="0" w:after="1"/>
              <w:ind w:left="0" w:right="0" w:hanging="0"/>
              <w:rPr/>
            </w:pPr>
            <w:r>
              <w:rPr/>
              <w:t> </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13,972,703</w:t>
            </w:r>
          </w:p>
        </w:tc>
        <w:tc>
          <w:tcPr>
            <w:tcW w:w="326" w:type="dxa"/>
            <w:tcBorders/>
            <w:shd w:fill="auto" w:val="clear"/>
            <w:vAlign w:val="center"/>
          </w:tcPr>
          <w:p>
            <w:pPr>
              <w:pStyle w:val="TableContents"/>
              <w:spacing w:before="0" w:after="1"/>
              <w:ind w:left="0" w:right="0" w:hanging="0"/>
              <w:rPr/>
            </w:pPr>
            <w:r>
              <w:rPr/>
              <w:t> </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2,843,996</w:t>
            </w:r>
          </w:p>
        </w:tc>
        <w:tc>
          <w:tcPr>
            <w:tcW w:w="326" w:type="dxa"/>
            <w:tcBorders/>
            <w:shd w:fill="auto" w:val="clear"/>
            <w:vAlign w:val="center"/>
          </w:tcPr>
          <w:p>
            <w:pPr>
              <w:pStyle w:val="TableContents"/>
              <w:spacing w:before="0" w:after="1"/>
              <w:ind w:left="0" w:right="0" w:hanging="0"/>
              <w:rPr/>
            </w:pPr>
            <w:r>
              <w:rPr/>
              <w:t> </w:t>
            </w:r>
          </w:p>
        </w:tc>
        <w:tc>
          <w:tcPr>
            <w:tcW w:w="13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12,197,839</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659,450</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1,631,994</w:t>
            </w:r>
          </w:p>
        </w:tc>
        <w:tc>
          <w:tcPr>
            <w:tcW w:w="326" w:type="dxa"/>
            <w:tcBorders/>
            <w:shd w:fill="CCEEFF" w:val="clear"/>
            <w:vAlign w:val="center"/>
          </w:tcPr>
          <w:p>
            <w:pPr>
              <w:pStyle w:val="TableContents"/>
              <w:spacing w:before="0" w:after="1"/>
              <w:ind w:left="0" w:right="0" w:hanging="0"/>
              <w:rPr/>
            </w:pPr>
            <w:r>
              <w:rPr/>
              <w:t>​</w:t>
            </w:r>
          </w:p>
        </w:tc>
        <w:tc>
          <w:tcPr>
            <w:tcW w:w="13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4,628,428</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investing activities with subsidiaries</w:t>
            </w:r>
          </w:p>
        </w:tc>
        <w:tc>
          <w:tcPr>
            <w:tcW w:w="326" w:type="dxa"/>
            <w:tcBorders/>
            <w:shd w:fill="auto" w:val="clear"/>
            <w:vAlign w:val="center"/>
          </w:tcPr>
          <w:p>
            <w:pPr>
              <w:pStyle w:val="TableContents"/>
              <w:spacing w:before="0" w:after="1"/>
              <w:ind w:left="0" w:right="0" w:hanging="0"/>
              <w:rPr/>
            </w:pPr>
            <w:r>
              <w:rPr/>
              <w:t> </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2,785,392</w:t>
            </w:r>
          </w:p>
        </w:tc>
        <w:tc>
          <w:tcPr>
            <w:tcW w:w="326" w:type="dxa"/>
            <w:tcBorders/>
            <w:shd w:fill="auto" w:val="clear"/>
            <w:vAlign w:val="center"/>
          </w:tcPr>
          <w:p>
            <w:pPr>
              <w:pStyle w:val="TableContents"/>
              <w:spacing w:before="0" w:after="1"/>
              <w:ind w:left="0" w:right="0" w:hanging="0"/>
              <w:rPr/>
            </w:pPr>
            <w:r>
              <w:rPr/>
              <w:t> </w:t>
            </w:r>
          </w:p>
        </w:tc>
        <w:tc>
          <w:tcPr>
            <w:tcW w:w="12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01" w:type="dxa"/>
            <w:tcBorders/>
            <w:shd w:fill="auto" w:val="clear"/>
            <w:vAlign w:val="center"/>
          </w:tcPr>
          <w:p>
            <w:pPr>
              <w:pStyle w:val="TableContents"/>
              <w:spacing w:before="0" w:after="1"/>
              <w:ind w:left="0" w:right="0" w:hanging="0"/>
              <w:jc w:val="right"/>
              <w:rPr/>
            </w:pPr>
            <w:r>
              <w:rPr/>
              <w:t>—</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(used in) investing activities with external parties</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(3,627,564)</w:t>
            </w:r>
          </w:p>
        </w:tc>
        <w:tc>
          <w:tcPr>
            <w:tcW w:w="326" w:type="dxa"/>
            <w:tcBorders/>
            <w:shd w:fill="CCEEFF" w:val="clear"/>
            <w:vAlign w:val="center"/>
          </w:tcPr>
          <w:p>
            <w:pPr>
              <w:pStyle w:val="TableContents"/>
              <w:spacing w:before="0" w:after="1"/>
              <w:ind w:left="0" w:right="0" w:hanging="0"/>
              <w:rPr/>
            </w:pPr>
            <w:r>
              <w:rPr/>
              <w:t>​</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2,688,546</w:t>
            </w:r>
          </w:p>
        </w:tc>
        <w:tc>
          <w:tcPr>
            <w:tcW w:w="326" w:type="dxa"/>
            <w:tcBorders/>
            <w:shd w:fill="CCEEFF" w:val="clear"/>
            <w:vAlign w:val="center"/>
          </w:tcPr>
          <w:p>
            <w:pPr>
              <w:pStyle w:val="TableContents"/>
              <w:spacing w:before="0" w:after="1"/>
              <w:ind w:left="0" w:right="0" w:hanging="0"/>
              <w:rPr/>
            </w:pPr>
            <w:r>
              <w:rPr/>
              <w:t>​</w:t>
            </w:r>
          </w:p>
        </w:tc>
        <w:tc>
          <w:tcPr>
            <w:tcW w:w="13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(438,285)</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(842,172)</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2,688,546</w:t>
            </w:r>
          </w:p>
        </w:tc>
        <w:tc>
          <w:tcPr>
            <w:tcW w:w="326" w:type="dxa"/>
            <w:tcBorders/>
            <w:shd w:fill="auto" w:val="clear"/>
            <w:vAlign w:val="center"/>
          </w:tcPr>
          <w:p>
            <w:pPr>
              <w:pStyle w:val="TableContents"/>
              <w:spacing w:before="0" w:after="1"/>
              <w:ind w:left="0" w:right="0" w:hanging="0"/>
              <w:rPr/>
            </w:pPr>
            <w:r>
              <w:rPr/>
              <w:t>​</w:t>
            </w:r>
          </w:p>
        </w:tc>
        <w:tc>
          <w:tcPr>
            <w:tcW w:w="13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(438,285)</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Inter-company loans financing from subsidiaries</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1,003,320</w:t>
            </w:r>
          </w:p>
        </w:tc>
        <w:tc>
          <w:tcPr>
            <w:tcW w:w="326" w:type="dxa"/>
            <w:tcBorders/>
            <w:shd w:fill="CCEEFF" w:val="clear"/>
            <w:vAlign w:val="center"/>
          </w:tcPr>
          <w:p>
            <w:pPr>
              <w:pStyle w:val="TableContents"/>
              <w:spacing w:before="0" w:after="1"/>
              <w:ind w:left="0" w:right="0" w:hanging="0"/>
              <w:rPr/>
            </w:pPr>
            <w:r>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10,921,871</w:t>
            </w:r>
          </w:p>
        </w:tc>
        <w:tc>
          <w:tcPr>
            <w:tcW w:w="326" w:type="dxa"/>
            <w:tcBorders/>
            <w:shd w:fill="CCEEFF" w:val="clear"/>
            <w:vAlign w:val="center"/>
          </w:tcPr>
          <w:p>
            <w:pPr>
              <w:pStyle w:val="TableContents"/>
              <w:spacing w:before="0" w:after="1"/>
              <w:ind w:left="0" w:right="0" w:hanging="0"/>
              <w:rPr/>
            </w:pPr>
            <w:r>
              <w:rPr/>
              <w:t>​</w:t>
            </w:r>
          </w:p>
        </w:tc>
        <w:tc>
          <w:tcPr>
            <w:tcW w:w="13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1,950,000</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Inter-company loans repayments to subsidiaries</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auto" w:val="clear"/>
            <w:vAlign w:val="center"/>
          </w:tcPr>
          <w:p>
            <w:pPr>
              <w:pStyle w:val="TableContents"/>
              <w:spacing w:before="0" w:after="1"/>
              <w:ind w:left="0" w:right="0" w:hanging="0"/>
              <w:rPr/>
            </w:pPr>
            <w:r>
              <w:rPr/>
              <w:t>​</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auto" w:val="clear"/>
            <w:vAlign w:val="center"/>
          </w:tcPr>
          <w:p>
            <w:pPr>
              <w:pStyle w:val="TableContents"/>
              <w:spacing w:before="0" w:after="1"/>
              <w:ind w:left="0" w:right="0" w:hanging="0"/>
              <w:rPr/>
            </w:pPr>
            <w:r>
              <w:rPr/>
              <w:t>​</w:t>
            </w:r>
          </w:p>
        </w:tc>
        <w:tc>
          <w:tcPr>
            <w:tcW w:w="13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(17,812,066)</w:t>
            </w:r>
          </w:p>
        </w:tc>
      </w:tr>
      <w:tr>
        <w:trPr/>
        <w:tc>
          <w:tcPr>
            <w:tcW w:w="54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(used in) financing activities with external parties</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4,034,180</w:t>
            </w:r>
          </w:p>
        </w:tc>
        <w:tc>
          <w:tcPr>
            <w:tcW w:w="326" w:type="dxa"/>
            <w:tcBorders/>
            <w:shd w:fill="CCEEFF" w:val="clear"/>
            <w:vAlign w:val="center"/>
          </w:tcPr>
          <w:p>
            <w:pPr>
              <w:pStyle w:val="TableContents"/>
              <w:spacing w:before="0" w:after="1"/>
              <w:ind w:left="0" w:right="0" w:hanging="0"/>
              <w:rPr/>
            </w:pPr>
            <w:r>
              <w:rPr/>
              <w:t> </w:t>
            </w:r>
          </w:p>
        </w:tc>
        <w:tc>
          <w:tcPr>
            <w:tcW w:w="125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(3,416,265)</w:t>
            </w:r>
          </w:p>
        </w:tc>
        <w:tc>
          <w:tcPr>
            <w:tcW w:w="326" w:type="dxa"/>
            <w:tcBorders/>
            <w:shd w:fill="CCEEFF" w:val="clear"/>
            <w:vAlign w:val="center"/>
          </w:tcPr>
          <w:p>
            <w:pPr>
              <w:pStyle w:val="TableContents"/>
              <w:spacing w:before="0" w:after="1"/>
              <w:ind w:left="0" w:right="0" w:hanging="0"/>
              <w:rPr/>
            </w:pPr>
            <w:r>
              <w:rPr/>
              <w:t> </w:t>
            </w:r>
          </w:p>
        </w:tc>
        <w:tc>
          <w:tcPr>
            <w:tcW w:w="13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(637,168)</w:t>
            </w:r>
          </w:p>
        </w:tc>
      </w:tr>
      <w:tr>
        <w:trPr/>
        <w:tc>
          <w:tcPr>
            <w:tcW w:w="5418"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4,037,500</w:t>
            </w:r>
          </w:p>
        </w:tc>
        <w:tc>
          <w:tcPr>
            <w:tcW w:w="326" w:type="dxa"/>
            <w:tcBorders/>
            <w:shd w:fill="auto" w:val="clear"/>
            <w:vAlign w:val="center"/>
          </w:tcPr>
          <w:p>
            <w:pPr>
              <w:pStyle w:val="TableContents"/>
              <w:spacing w:before="0" w:after="1"/>
              <w:ind w:left="0" w:right="0" w:hanging="0"/>
              <w:rPr/>
            </w:pPr>
            <w:r>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4,505,606</w:t>
            </w:r>
          </w:p>
        </w:tc>
        <w:tc>
          <w:tcPr>
            <w:tcW w:w="326" w:type="dxa"/>
            <w:tcBorders/>
            <w:shd w:fill="auto" w:val="clear"/>
            <w:vAlign w:val="center"/>
          </w:tcPr>
          <w:p>
            <w:pPr>
              <w:pStyle w:val="TableContents"/>
              <w:spacing w:before="0" w:after="1"/>
              <w:ind w:left="0" w:right="0" w:hanging="0"/>
              <w:jc w:val="right"/>
              <w:rPr/>
            </w:pPr>
            <w:r>
              <w:rPr/>
              <w:t>​</w:t>
            </w:r>
          </w:p>
        </w:tc>
        <w:tc>
          <w:tcPr>
            <w:tcW w:w="13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(16,499,234)</w:t>
            </w:r>
          </w:p>
        </w:tc>
      </w:tr>
    </w:tbl>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 Basis of presentation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the accounting principles generally accepted in the United States of America (“U.S. GAAP”). Significant accounting policies followed by the Group in the preparation of the accompanying consolidated financial statements are summarized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 Basis of consolidation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the VIEs and VIEs’ subsidiaries for which the Company is considered the ultimate primary beneficiary for accounting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VIE is an entity in which the Company’s subsidiary, through contractual arrangements, has the power to direct activities of the VIEs that most significantly impact their economic performance, and has the right to receive economic benefits from the VIEs that could potentially be significant to them, and therefore the Company is considered the ultimate primary beneficiary of the entity for accounting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transactions and balances among the Company, its subsidiaries, the VIEs and VIEs’ subsidiaries have been eliminated upon consolidation. The results of subsidiaries and VIEs acquired or disposed of during the year are recorded in the consolidated statements of comprehensive loss from the effective dates of acquisition or up to the effective dates of disposal, as appropriate.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 Impact of the COVID-19 pandemic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COVID-19 pandemic starting in January 2020 had an adverse impact on the Group’s business and operations including reduced demand for China Mobility and International business. During 2021, China also experienced upticks in cases that have prompted selective restrictions in the affected regions at various times. In 2022, there have been the resurgence of the COVID-19 pandemic, especially in the second and fourth quarter. As a result, the Group’s operating and financial performance for China Mobility have been adversely affected. Starting in December 2022, most of the travel restrictions and quarantine requirements in China were lifted.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extent to which the COVID-19 pandemic impacts the Group’s future business, results of operations, financial position and cash flows will depend on future developments which are highly uncertain, unpredictable and beyond the Group’s control, including the severity of the disease, the duration of the outbreak, additional actions that may be taken by governmental authorities, the further impact on the business of drivers, riders, and business partners. The Group will continue to evaluate the nature and extent of the impact of the COVID-19 pandemic to its future business, results of operations, financial condition and liquidity.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the Chinese government’s effort to ease the burden of business affected by the COVID-19 pandemic, the Ministry of Human Resources and Social Security, the Ministry of Finance and the State Taxation Administration temporarily reduced or exempted contributions to the government-mandated employee welfare benefit plans from February 2020 to December 2020. In addition, the Ministry of Finance and the State Taxation Administration temporarily exempted VAT on revenues derived from the provision of public transportation services in the PRC from January 2020 to March 2021 and from January 2022 to December 2022,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3.4 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judgments that affect the reported amounts of the assets and liabilities, the disclosure of contingent assets and liabilities at the balance sheet date, and the reported revenues and expenses during the reported periods.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 believes that (i) revenue recognition, (ii) assessment for impairment of goodwill, long-lived assets, intangible assets, (iii) determination of the estimated useful lives of long-lived assets, (iv) fair value of short-term, long-term investments and other financial instruments, (v) provision for credit losses of time deposits, accounts and notes receivable, loans receivable, contract assets, finance lease receivables and other receivables, (vi) determination of the fair value of ordinary shares, (vii) valuation and recognition of share based compensation expenses, (viii) provision for income tax and realization of deferred tax assets reflect the more significant judgments and estimates used in the preparation of its consolidated financial statements. These estimates are inherently subject to judgment and actual results could differ from those estimates.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considered the impacts of the COVID-19 pandemic on the assumptions and inputs supporting certain of these estimates, assumptions and judgments. The level of uncertainties and volatilities in the global financial markets and economies resulting from the pandemic related to the impacts of the COVID-19 pandemic means that these estimates may change in future periods, as new events occur and additional information is obtained.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current assessment of these estimates, the Group did not identify additional impairment related to its goodwill or other long-lived assets except for the impairment charges described in Notes 11, 14 and 27 for the years ended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3.5 Functional currency and foreign currency translation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uses Renminbi (“RMB”) as its reporting currency. The functional currency of the Company and its subsidiaries incorporated in the Cayman Islands and BVI is United States dollars (“US$”). The functional currency of its subsidiaries incorporated in Hong Kong is HongKong dollar (“HK$”) or US$. The functional currency of the PRC entities in the Group is RMB. The Company’s subsidiaries with operations in other jurisdictions generally use their respective local currencies as their functional currencies. The determination of the respective functional currency is based on the criteria of Accounting Standards Codification (“ASC”) 830, Foreign Currency Matters.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Transactions denominated in currencies other than functional currency are translated into functional currency at the exchange rates quoted by authoritative banks prevailing at the dates of the transactions. Exchange gains and losses resulting from those foreign currency transactions denominated in a currency other than the functional currency are recorded as other income (loss), net in the consolidated statements of comprehensive loss. The foreign exchange gain amounted to RMB1,156,606 </w:t>
      </w:r>
      <w:r>
        <w:rPr>
          <w:rFonts w:ascii="Times New Roman;Times;serif" w:hAnsi="Times New Roman;Times;serif"/>
          <w:sz w:val="20"/>
          <w:highlight w:val="white"/>
        </w:rPr>
        <w:t>and RMB70,265</w:t>
      </w:r>
      <w:r>
        <w:rPr>
          <w:rFonts w:ascii="Times New Roman;Times;serif" w:hAnsi="Times New Roman;Times;serif"/>
          <w:sz w:val="20"/>
        </w:rPr>
        <w:t xml:space="preserve"> for the years ended December 31, 2020 and 2021, respectively; and the foreign exchange loss amounted to RMB1,387,541 for the year ended December 31, 2022, which was mainly caused by the depreciation of RMB against US$ or HK$ for the financial assets denominated in RMB held by the Company and its subsidiaries incorporated in the Cayman Islands, BVI and Hong Kong.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financial statements of the Group are translated from the functional currency into RMB. Assets and liabilities are translated at the exchange rates at the balance sheet date. Equity accounts other than earnings generated in the current period are translated into RMB using the appropriate historical rates. Revenues and expenses, gains and losses are translated into RMB using the periodic average exchange rates. Translation adjustments are reported as foreign currency translation adjustments and are shown as a component of other comprehensive income (loss) in the consolidated statements of comprehensive loss.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3.6 Convenience translation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Translations of the consolidated balance sheets, consolidated statements of comprehensive loss and consolidated statements of cash flows from RMB into US$ as of and for the year ended December 31, 2022 are solely for the convenience of the reader and were calculated at the rate of US$1.00 = RMB6.8972, representing the index rates stipulated by the federal reserve board/the noon buying rate set forth in the H.10 statistical release of the U.S. Federal Reserve Board on December 30, 2022. No representation is made that the RMB amounts could have been, or could be, converted, realized or settled into US$ at that rate on December 30, 2022, or at any other rate.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3.7 Fair value measurement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financial instrument’s categorization within the fair value hierarchy is based upon the lowest level of input that is significant to the fair value measurement. Accounting guidance establishes three levels of inputs that may be used to measure fair value:</w:t>
      </w:r>
    </w:p>
    <w:tbl>
      <w:tblPr>
        <w:tblW w:w="7686" w:type="dxa"/>
        <w:jc w:val="left"/>
        <w:tblInd w:w="0" w:type="dxa"/>
        <w:tblCellMar>
          <w:top w:w="28" w:type="dxa"/>
          <w:left w:w="28" w:type="dxa"/>
          <w:bottom w:w="28" w:type="dxa"/>
          <w:right w:w="28" w:type="dxa"/>
        </w:tblCellMar>
      </w:tblPr>
      <w:tblGrid>
        <w:gridCol w:w="124"/>
        <w:gridCol w:w="256"/>
        <w:gridCol w:w="7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market-based inputs, other than quoted prices, in active markets for identical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to the valuation methodology that are significant to the measurement of the fair value of the assets or liabilities.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available, the Group uses quoted market prices to determine the fair value of an asset or liability. If quoted market prices are not available, the Group will measure fair value using valuation techniques that use, when possible, current market-based sourced market parameters, such as interest rates and currency exchange rates.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3.8 Cash and cash equivalents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and cash equivalents represent cash on hand, time deposits and highly liquid investments placed with banks or other financial institutions, which are unrestricted as to withdrawal for use, and which have original maturities less than three months. As of December 31, 2021 and 2022, cash held in accounts managed by online payment platforms such as Alipay and WeChat Pay amounted to RMB2,212,704</w:t>
      </w:r>
      <w:r>
        <w:rPr>
          <w:rFonts w:ascii="Times New Roman;Times;serif" w:hAnsi="Times New Roman;Times;serif"/>
          <w:sz w:val="20"/>
          <w:highlight w:val="white"/>
        </w:rPr>
        <w:t xml:space="preserve"> and RMB971,925 </w:t>
      </w:r>
      <w:r>
        <w:rPr>
          <w:rFonts w:ascii="Times New Roman;Times;serif" w:hAnsi="Times New Roman;Times;serif"/>
          <w:sz w:val="20"/>
        </w:rPr>
        <w:t>respectively, which have been classified as cash and cash equivalents in the consolidated balance sheets.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3.9 Restricted cash and non-current restricted cash</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Cash on hand, time deposits and highly liquid investments placed with banks or other financial institutions, which have original maturities less than three months, and which are restricted as to withdrawal for use or pledged as security are reported separately as restricted cash. The Group’s restricted cash is classified into current and non-current based on the length of restricted period. The Group’s restricted cash primarily represents the deposits in banks which are restricted in use.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3.10 Short-term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Short-term investments mainly consist of time deposits, structured notes and other investments with maturities within 12 months. Time deposits include the balances placed with the banks with original maturities over three months, but less than one year and the long-term time deposits with a maturity date within one year. The investments that are expected to be realized in cash during the next twelve months are also included in short-term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elected the fair value option (“FVO”) at the date of initial recognition to measure structured notes and other debt investments with variable interest rates. Changes in the fair value are reflected in the consolidated statements of comprehensive loss as investment income (loss), net.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3.11 Accounts and notes receivable,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receivable, net represent the amounts that the Group has an unconditional right to consideration from riders, other individual customers and enterprise customers, and primarily consist of (i) unpaid fare amounts from riders, (ii) fare amounts paid by riders but not yet received by the Group, (iii) fare amounts not yet paid by enterprise customers, (iv) unpaid amounts from individual customers and enterprise customers for other services completed.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Notes receivable, net represent short-term notes receivable issued by reputable financial institutions that entitle the Group to receive the full-face amount from the financial institutions at maturity, which generally range from one to twelve months from the date of issuance.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3.12 Loans receivable,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Loans receivable, net primarily represent micro loans the Group offers to individual borrowers who are registered as riders, end-users or drivers via the Group’s platforms, mainly with terms of three to twelve months.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Measurement of loans receivable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Loans receivable are measured at amortized cost and reported on the consolidated balance sheets at outstanding principal and accrued interest receivable adjusted for allowances for credit losses as the Group undertakes substantially all the risks and rewards for such loans offered.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Accrued interest receivable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Accrued interest income on loans receivable is calculated based on the contractual interest rate of the loan and recorded as revenue in Other Initiatives as earned in the consolidated statements of comprehensive loss. Generally, loans receivable are impaired and placed on non-accrual status upon reaching 90 days past due. When a loan receivable is placed on non-accrual status, the Group stops accruing interest and reverses all accrued but unpaid interest as of such date. Cash payment received on non-accrual loans receivable would be first applied to any unpaid principal and late payment fees, if any, before recognizing interest income.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Allowance for credit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provision for credit losses reflects the best estimate of the losses inherent in the outstanding portfolio of loans. The Group considers a loan receivable to be delinquent when a monthly payment is one day past due. The Group writes off the loan receivable against the related allowance when management determines that full repayment of a loan is not probable. Generally, write-off occurs after the 180th day of delinquency. The primary factor in making such determination is the assessment of potential recoverable amounts from the delinquent debtor.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3.13 Short-term and long-term finance lease receivables,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provides automobile finance lease services to individual customers and rental companies. The net investment of the lease is recorded as finance lease receivables upon the inception of the lease. The net investment in a lease consists of the minimum lease payments, net of executory costs plus the unguaranteed residual value, less the unearned interest income plus the unamortized initial direct costs related to the lease. The accrued interest is also included in the finance lease receivables balance. Over the period of a lease, each lease payment received is allocated between the repayment of the net investment in the lease and lease income based on the effective interest method so as to produce a constant rate of return on the net investment in the lease. The lease income is recorded as the Group’s revenues in the consolidated statements of comprehensive loss. Initial direct costs of the finance leases are amortized over the lease term by adjusting against the related lease income. The investment in the leases, net of allowance for credit losses, is presented as finance lease receivables and classified as current or non-current assets in the balance sheets based on the duration of the remaining lease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Accrued lease income on finance lease receivables is calculated based on the effective interest rate of the net investment. Finance lease receivables are placed on non-accrual status upon reaching past due status for more than 90 days. When a finance lease receivable is placed on non-accrual status, the Group stopped accruing interest. Lease income is subsequently recognized only upon the receipt of cash payments.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3.14 Expected credit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adopted ASC 326 on January 1, 2020 using a modified retrospective approach which did not have a material impact on the opening balance of accumulated deficit.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time deposits, accounts and notes receivable, loans receivable, contract assets, finance lease receivables and other receivables are within the scope of ASC 326.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historical credit losses experience, current economic conditions, supportable forecasts of future economic conditions, and any recoveries in assessing the lifetime expected credit losses. Other key factors that influence the expected credit losses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forward-looking statements are, by their nature, subject to risks and uncertainties, many of which are beyond the Group’s control. The Group updated the model based on various macroeconomic and market data and took the latest available information into consideration.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3.15 Investment securities and other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Investment securities and other investments consist of equity securities with readily determinable fair value as well as other investments which primarily consist of debt investments.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securities with readily determinable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invests in marketable equity securities, which are publicly traded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carries these equity securities at fair value with unrealized gains and losses recorded in the consolidated statements of comprehensive loss.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Debt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Debt investments are accounted for at amortized cost or under the fair value option. The Group has elected the fair value option for certain debt investments primarily consisting of convertible bonds and structured notes with maturities of over one year. The fair value option permits the irrevocable election on an instrument-by-instrument basis at initial recognition of an asset or liability or upon an event that gives rise to a new basis of accounting for that instrument. The investments accounted for under the fair value option are carried at fair value with realized or unrealized gains (losses) recorded as investment income (loss), net in the consolidated statements of comprehensive loss.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Other debt investments, primarily consist of long term time deposits, which the balance placed with the bank with original maturities over 12 months, are measured at amortized cost. Interest income from debt investments is recognized using the effective interest method which is reviewed and adjusted periodically based on changes in estimated cash flows.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3.16 Long-term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long-term investments consist of equity investments without readily determinable fair value and equity investments over which the Group has ability to exercise significant influence.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securities without readily determinable fair value measured at Measurement Alternative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Equity securities except for those over which the Group has the ability to exercise significant influence, are carried at fair value with unrealized gains and losses recorded in the consolidated statements of comprehensive loss, according to ASC 321 “Investments — Equity Securities”, which the Group adopted beginning April 1, 2018. The Group elected to record the equity investments without readily determinable fair value using the Measurement Alternative at cost, less impairment, with subsequent adjustments for observable price changes resulting from orderly transactions for identical or similar investments of the same issuer, if any. All realized and unrealized gains (losses) on the investments, are recognized in investment income (loss), net or impairment loss for equity investments accounted for using Measurement Alternative in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investments under the Measurement Alternative, the Group makes a qualitative assessment of whether the investment is impaired at each reporting date based on performance and financial position of the investee as well as other evidence of market value. Such assessment includes, but is not limited to, reviewing the investee’s cash position, recent financing, as well as the financial and business performance, and other significant judgment in considering various factors and events.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qualitative assessment indicates that the investment is impaired, the Group estimates the investment’s fair value in accordance with the principles of ASC 820. If the fair value is less than the investment’s carrying value, the Group recognizes an impairment loss in net loss equal to the difference between the carrying value and fair value. Significant judgment is applied by the Group in estimating the fair value to determine if an impairment exists, and if so, to measure the impairment losses for these equity security investments. These judgments include the selection of valuation methods in estimating fair value and the determination of key valuation assumptions used in cash flow forecasts.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investments accounted for using the equity method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applies the equity method to account for equity investments in common stock or in-substance common stock, according to ASC 323 “Investments — Equity Method and Joint Ventures”, over which it has significant influence but does not own a majority equity interest or otherwise control, unless the fair value option is elected. An investment in in-substance common stock is an investment in an entity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an investment in that entity’s common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equity method, the Group initially records its investment at cost and subsequently records its share of the results of the equity investees within a one quarter in arrears basis. The excess of the carrying amount of the investment over the underlying equity in net assets of the equity investee generally represents goodwill and intangible assets acquired. The Group subsequently adjusts the carrying amount of the investment to recognize the Group’s proportionate share of each equity investee’s net income or loss into the consolidated statement of comprehensive loss and recognizes its share of post-acquisition movements in accumulated other comprehensive income (loss) as a component of shareholders’ equity (deficit). When the Group’s share of losses in the equity investees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continuously reviews its investments in equity investees to determine whether a decline in fair value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 If any impairment is considered other-than-temporary, the Group writes down the investment to its fair value and recognizes the impairment charge to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elected to apply the fair value option to the investments in ordinary shares of Chengxin Technology Inc. (“Chengxin”) upon the closing of the deconsolidation of Chengxin,for which the equity method otherwise would be required. Refer to Note 4 Financing transaction of Chengxin for further information.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bookmarkStart w:id="1767" w:name="Tc_g1SLewdLvUuPg32nMDBsfg_6_2"/>
      <w:bookmarkStart w:id="1768" w:name="Tc_-7GIlwxPTEGtqUBlmC8bvg_6_0"/>
      <w:bookmarkStart w:id="1769" w:name="Tc_-nh-KQysZ0aVWRsfZ8TLhQ_5_2"/>
      <w:bookmarkStart w:id="1770" w:name="Tc_a0rBG7UfMEKTVpvRjR7prA_5_0"/>
      <w:bookmarkStart w:id="1771" w:name="Tc_qutXo0RayEWkIeSdxJP3Yw_4_2"/>
      <w:bookmarkStart w:id="1772" w:name="Tc_c4Z-tDcYnECXbnLxUeEjog_4_0"/>
      <w:bookmarkStart w:id="1773" w:name="Tc_app9BWuHtkmALHBGrG83Ew_3_0"/>
      <w:bookmarkStart w:id="1774" w:name="Tc_FwzsxnHWbEmdhP7R1SPo8g_2_2"/>
      <w:bookmarkStart w:id="1775" w:name="Tc_Y3TRkCWBfkuiB-Xp6BpPvw_2_0"/>
      <w:bookmarkStart w:id="1776" w:name="Tc_kqGsVzzXdkemmvfQcyxt0A_1_2"/>
      <w:bookmarkStart w:id="1777" w:name="Tc_eXk3rQPvf0qdwsosn_EXEQ_1_0"/>
      <w:bookmarkEnd w:id="1767"/>
      <w:bookmarkEnd w:id="1768"/>
      <w:bookmarkEnd w:id="1769"/>
      <w:bookmarkEnd w:id="1770"/>
      <w:bookmarkEnd w:id="1771"/>
      <w:bookmarkEnd w:id="1772"/>
      <w:bookmarkEnd w:id="1773"/>
      <w:bookmarkEnd w:id="1774"/>
      <w:bookmarkEnd w:id="1775"/>
      <w:bookmarkEnd w:id="1776"/>
      <w:bookmarkEnd w:id="1777"/>
      <w:r>
        <w:rPr>
          <w:rFonts w:ascii="Times New Roman;Times;serif" w:hAnsi="Times New Roman;Times;serif"/>
          <w:b/>
          <w:sz w:val="20"/>
        </w:rPr>
        <w:t>3. Summary of significant accounting policies (Continued)</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3.17 Property and equipment,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Property and equipment are stated at cost, net of accumulated depreciation and impairment, if any. Depreciation is primarily computed using the straight-line method over the estimated useful lives of the assets.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Bikes and e-bikes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Bikes and e-bikes are depreciated over the estimated useful lives on a straight-line basis. The initial estimated useful lives of such bikes and e-bikes are generally from 2 to 3 years.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Vehicles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Vehicles are depreciated over the estimated useful lives on a straight-line basis or accelerated basis. The initial estimated useful lives of such vehicles are 5 years. The Group also estimates the residual value of the vehicles at the expected time of disposal. The estimated residual values for vehicles are based on factors including model, age, and mileage. The Group makes annual assessments to the depreciation rates of vehicles in response to the latest market conditions and their effect on residual values as well as the estimated time of disposal. Changes made to estimates are reflected in vehicle-related depreciation expense on a prospective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property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property and equipment are stated at cost less accumulated depreciation and impairment, if any. Depreciation is computed using the straight-line method over the estimated useful lives of the assets. 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Property and equipment have estimated useful lives as follows:</w:t>
      </w:r>
    </w:p>
    <w:p>
      <w:pPr>
        <w:pStyle w:val="TextBody"/>
        <w:spacing w:before="0" w:after="0"/>
        <w:ind w:left="0" w:right="0" w:hanging="0"/>
        <w:rPr/>
      </w:pPr>
      <w:r>
        <w:rPr/>
        <w:t>​</w:t>
      </w:r>
    </w:p>
    <w:tbl>
      <w:tblPr>
        <w:tblW w:w="7153" w:type="dxa"/>
        <w:jc w:val="left"/>
        <w:tblInd w:w="0" w:type="dxa"/>
        <w:tblCellMar>
          <w:top w:w="0" w:type="dxa"/>
          <w:left w:w="0" w:type="dxa"/>
          <w:bottom w:w="0" w:type="dxa"/>
          <w:right w:w="0" w:type="dxa"/>
        </w:tblCellMar>
      </w:tblPr>
      <w:tblGrid>
        <w:gridCol w:w="2266"/>
        <w:gridCol w:w="326"/>
        <w:gridCol w:w="4561"/>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438910" cy="175260"/>
                      <wp:effectExtent l="0" t="0" r="0" b="0"/>
                      <wp:wrapNone/>
                      <wp:docPr id="431" name="Frame424"/>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2" name="Frame4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896235" cy="175260"/>
                      <wp:effectExtent l="0" t="0" r="0" b="0"/>
                      <wp:wrapNone/>
                      <wp:docPr id="433" name="Frame426"/>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6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Categories</w:t>
            </w:r>
          </w:p>
        </w:tc>
        <w:tc>
          <w:tcPr>
            <w:tcW w:w="326" w:type="dxa"/>
            <w:tcBorders/>
            <w:shd w:fill="auto" w:val="clear"/>
            <w:vAlign w:val="center"/>
          </w:tcPr>
          <w:p>
            <w:pPr>
              <w:pStyle w:val="TableContents"/>
              <w:spacing w:before="0" w:after="1"/>
              <w:ind w:left="0" w:right="0" w:hanging="0"/>
              <w:rPr/>
            </w:pPr>
            <w:r>
              <w:rPr/>
              <w:t>    </w:t>
            </w:r>
          </w:p>
        </w:tc>
        <w:tc>
          <w:tcPr>
            <w:tcW w:w="45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Estimated useful lives</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Bikes and e</w:t>
              <w:noBreakHyphen/>
              <w:t>bikes</w:t>
            </w:r>
          </w:p>
        </w:tc>
        <w:tc>
          <w:tcPr>
            <w:tcW w:w="326" w:type="dxa"/>
            <w:tcBorders/>
            <w:shd w:fill="CCEEFF" w:val="clear"/>
            <w:vAlign w:val="center"/>
          </w:tcPr>
          <w:p>
            <w:pPr>
              <w:pStyle w:val="TableContents"/>
              <w:spacing w:before="0" w:after="1"/>
              <w:ind w:left="0" w:right="0" w:hanging="0"/>
              <w:rPr/>
            </w:pPr>
            <w:r>
              <w:rPr/>
              <w:t> </w:t>
            </w:r>
          </w:p>
        </w:tc>
        <w:tc>
          <w:tcPr>
            <w:tcW w:w="4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w:t>
              <w:noBreakHyphen/>
              <w:t>3 years</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Vehicles</w:t>
            </w:r>
          </w:p>
        </w:tc>
        <w:tc>
          <w:tcPr>
            <w:tcW w:w="326" w:type="dxa"/>
            <w:tcBorders/>
            <w:shd w:fill="auto" w:val="clear"/>
            <w:vAlign w:val="center"/>
          </w:tcPr>
          <w:p>
            <w:pPr>
              <w:pStyle w:val="TableContents"/>
              <w:spacing w:before="0" w:after="1"/>
              <w:ind w:left="0" w:right="0" w:hanging="0"/>
              <w:rPr/>
            </w:pPr>
            <w:r>
              <w:rPr/>
              <w:t> </w:t>
            </w:r>
          </w:p>
        </w:tc>
        <w:tc>
          <w:tcPr>
            <w:tcW w:w="4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 years</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Computers and equipment</w:t>
            </w:r>
          </w:p>
        </w:tc>
        <w:tc>
          <w:tcPr>
            <w:tcW w:w="326" w:type="dxa"/>
            <w:tcBorders/>
            <w:shd w:fill="CCEEFF" w:val="clear"/>
            <w:vAlign w:val="center"/>
          </w:tcPr>
          <w:p>
            <w:pPr>
              <w:pStyle w:val="TableContents"/>
              <w:spacing w:before="0" w:after="1"/>
              <w:ind w:left="0" w:right="0" w:hanging="0"/>
              <w:rPr/>
            </w:pPr>
            <w:r>
              <w:rPr/>
              <w:t> </w:t>
            </w:r>
          </w:p>
        </w:tc>
        <w:tc>
          <w:tcPr>
            <w:tcW w:w="4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w:t>
              <w:noBreakHyphen/>
              <w:t>5 years</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w:t>
            </w:r>
          </w:p>
        </w:tc>
        <w:tc>
          <w:tcPr>
            <w:tcW w:w="326" w:type="dxa"/>
            <w:tcBorders/>
            <w:shd w:fill="auto" w:val="clear"/>
            <w:vAlign w:val="center"/>
          </w:tcPr>
          <w:p>
            <w:pPr>
              <w:pStyle w:val="TableContents"/>
              <w:spacing w:before="0" w:after="1"/>
              <w:ind w:left="0" w:right="0" w:hanging="0"/>
              <w:rPr/>
            </w:pPr>
            <w:r>
              <w:rPr/>
              <w:t> </w:t>
            </w:r>
          </w:p>
        </w:tc>
        <w:tc>
          <w:tcPr>
            <w:tcW w:w="4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Lesser of estimated useful life or remaining lease terms</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4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w:t>
              <w:noBreakHyphen/>
              <w:t>40 years</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Construction in progress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Direct costs that are related to the construction of property and equipment and are incurred in connection with bringing the assets to their intended use are capitalized as construction in progress. Construction in progress is transferred to specific property or equipment, which are primarily relating to vehicles and bikes and e-bikes which are not ready for lease or use, and the depreciation of these assets commences when the assets are ready for their intended use.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1778" w:name="Tc_nU5NW2QCr0afHGdxdLqULA_8_2"/>
      <w:bookmarkStart w:id="1779" w:name="Tc_BcEpVHXVJUKPlPXzB9K2SA_8_0"/>
      <w:bookmarkStart w:id="1780" w:name="Tc_E2y2HeRW2kWUghQL78eSxw_7_2"/>
      <w:bookmarkStart w:id="1781" w:name="Tc_AMvTX1C8REKyJHC8LA_zEw_7_0"/>
      <w:bookmarkStart w:id="1782" w:name="Tc_2JkPiV2EqEWuch_HOPDu3A_6_2"/>
      <w:bookmarkStart w:id="1783" w:name="Tc_bd6bW-A1qUWl2BDKbLsBlg_6_0"/>
      <w:bookmarkStart w:id="1784" w:name="Tc_pi3F3HFtxEOrPKotENYmoQ_5_0"/>
      <w:bookmarkStart w:id="1785" w:name="Tc_jy_1E_QJg0OX9tU-7JWatQ_4_0"/>
      <w:bookmarkStart w:id="1786" w:name="Tc_LXCmja_HKE2KwLHLYneCJQ_3_2"/>
      <w:bookmarkStart w:id="1787" w:name="Tc_zoF3fbqQ1UycZHpA9tIsgw_3_0"/>
      <w:bookmarkStart w:id="1788" w:name="Tc_lxb42hS6-Ui59OaMs30d5A_2_2"/>
      <w:bookmarkStart w:id="1789" w:name="Tc_-pE63ouUm0mKLiTo4XWc1g_2_0"/>
      <w:bookmarkStart w:id="1790" w:name="Tc_E3WNGCcp1kC23Kfoqorzng_1_2"/>
      <w:bookmarkStart w:id="1791" w:name="Tc_l2wDjZUFCkKCg19ClWZsBw_1_0"/>
      <w:bookmarkStart w:id="1792" w:name="_2a07e405_5266_4fe0_8cc1_f1f004aad816"/>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3.18 Intangible assets, net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Intangible assets are primarily acquired through business combinations or purchased from third parties.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upon the usage of the asset, which is approximated using a straight-line method as follows:</w:t>
      </w:r>
    </w:p>
    <w:p>
      <w:pPr>
        <w:pStyle w:val="TextBody"/>
        <w:spacing w:before="0" w:after="240"/>
        <w:ind w:left="0" w:right="0" w:hanging="0"/>
        <w:rPr/>
      </w:pPr>
      <w:r>
        <w:rPr/>
        <w:t>​</w:t>
      </w:r>
    </w:p>
    <w:tbl>
      <w:tblPr>
        <w:tblW w:w="4573" w:type="dxa"/>
        <w:jc w:val="left"/>
        <w:tblInd w:w="0" w:type="dxa"/>
        <w:tblCellMar>
          <w:top w:w="0" w:type="dxa"/>
          <w:left w:w="0" w:type="dxa"/>
          <w:bottom w:w="0" w:type="dxa"/>
          <w:right w:w="0" w:type="dxa"/>
        </w:tblCellMar>
      </w:tblPr>
      <w:tblGrid>
        <w:gridCol w:w="2551"/>
        <w:gridCol w:w="326"/>
        <w:gridCol w:w="169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619885" cy="175260"/>
                      <wp:effectExtent l="0" t="0" r="0" b="0"/>
                      <wp:wrapNone/>
                      <wp:docPr id="434" name="Frame427"/>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5"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076960" cy="175260"/>
                      <wp:effectExtent l="0" t="0" r="0" b="0"/>
                      <wp:wrapNone/>
                      <wp:docPr id="436" name="Frame429"/>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Categories</w:t>
            </w:r>
          </w:p>
        </w:tc>
        <w:tc>
          <w:tcPr>
            <w:tcW w:w="326" w:type="dxa"/>
            <w:tcBorders/>
            <w:shd w:fill="auto" w:val="clear"/>
            <w:vAlign w:val="center"/>
          </w:tcPr>
          <w:p>
            <w:pPr>
              <w:pStyle w:val="TableContents"/>
              <w:spacing w:before="0" w:after="1"/>
              <w:ind w:left="0" w:right="0" w:hanging="0"/>
              <w:jc w:val="center"/>
              <w:rPr/>
            </w:pPr>
            <w:r>
              <w:rPr/>
              <w:t>    </w:t>
            </w:r>
          </w:p>
        </w:tc>
        <w:tc>
          <w:tcPr>
            <w:tcW w:w="16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Estimated useful lives</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w:t>
              <w:noBreakHyphen/>
              <w:t>compete agreements</w:t>
            </w:r>
          </w:p>
        </w:tc>
        <w:tc>
          <w:tcPr>
            <w:tcW w:w="326" w:type="dxa"/>
            <w:tcBorders/>
            <w:shd w:fill="CCEEFF" w:val="clear"/>
            <w:vAlign w:val="center"/>
          </w:tcPr>
          <w:p>
            <w:pPr>
              <w:pStyle w:val="TableContents"/>
              <w:spacing w:before="0" w:after="1"/>
              <w:ind w:left="0" w:right="0" w:hanging="0"/>
              <w:rPr/>
            </w:pPr>
            <w:r>
              <w:rPr/>
              <w:t> </w:t>
            </w:r>
          </w:p>
        </w:tc>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6</w:t>
              <w:noBreakHyphen/>
              <w:t>7 years</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 patents and others</w:t>
            </w:r>
          </w:p>
        </w:tc>
        <w:tc>
          <w:tcPr>
            <w:tcW w:w="326" w:type="dxa"/>
            <w:tcBorders/>
            <w:shd w:fill="auto" w:val="clear"/>
            <w:vAlign w:val="center"/>
          </w:tcPr>
          <w:p>
            <w:pPr>
              <w:pStyle w:val="TableContents"/>
              <w:spacing w:before="0" w:after="1"/>
              <w:ind w:left="0" w:right="0" w:hanging="0"/>
              <w:rPr/>
            </w:pPr>
            <w:r>
              <w:rPr/>
              <w:t> </w:t>
            </w:r>
          </w:p>
        </w:tc>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w:t>
              <w:noBreakHyphen/>
              <w:t>20 years</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Driver lists</w:t>
            </w:r>
          </w:p>
        </w:tc>
        <w:tc>
          <w:tcPr>
            <w:tcW w:w="326" w:type="dxa"/>
            <w:tcBorders/>
            <w:shd w:fill="CCEEFF" w:val="clear"/>
            <w:vAlign w:val="center"/>
          </w:tcPr>
          <w:p>
            <w:pPr>
              <w:pStyle w:val="TableContents"/>
              <w:spacing w:before="0" w:after="1"/>
              <w:ind w:left="0" w:right="0" w:hanging="0"/>
              <w:rPr/>
            </w:pPr>
            <w:r>
              <w:rPr/>
              <w:t> </w:t>
            </w:r>
          </w:p>
        </w:tc>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 years</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lists</w:t>
            </w:r>
          </w:p>
        </w:tc>
        <w:tc>
          <w:tcPr>
            <w:tcW w:w="326" w:type="dxa"/>
            <w:tcBorders/>
            <w:shd w:fill="auto" w:val="clear"/>
            <w:vAlign w:val="center"/>
          </w:tcPr>
          <w:p>
            <w:pPr>
              <w:pStyle w:val="TableContents"/>
              <w:spacing w:before="0" w:after="1"/>
              <w:ind w:left="0" w:right="0" w:hanging="0"/>
              <w:rPr/>
            </w:pPr>
            <w:r>
              <w:rPr/>
              <w:t> </w:t>
            </w:r>
          </w:p>
        </w:tc>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 years</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spacing w:before="0" w:after="1"/>
              <w:ind w:left="0" w:right="0" w:hanging="0"/>
              <w:rPr/>
            </w:pPr>
            <w:r>
              <w:rPr/>
              <w:t> </w:t>
            </w:r>
          </w:p>
        </w:tc>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-5 years</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Online payment license*</w:t>
            </w:r>
          </w:p>
        </w:tc>
        <w:tc>
          <w:tcPr>
            <w:tcW w:w="326" w:type="dxa"/>
            <w:tcBorders/>
            <w:shd w:fill="auto" w:val="clear"/>
            <w:vAlign w:val="center"/>
          </w:tcPr>
          <w:p>
            <w:pPr>
              <w:pStyle w:val="TableContents"/>
              <w:spacing w:before="0" w:after="1"/>
              <w:ind w:left="0" w:right="0" w:hanging="0"/>
              <w:rPr/>
            </w:pPr>
            <w:r>
              <w:rPr/>
              <w:t> </w:t>
            </w:r>
          </w:p>
        </w:tc>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Indefinite live</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Indefinite live</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An acquired online payment license is considered to be an indefinite live and is carried at cost less any subsequent impairment loss. The Group is required to apply for the renewal of the license issued from government authorities each five years and the Group considered that, based on regulatory precedent, there were no practical difficulties in the renewal process according to the industry practice, thus providing the basis for the indefinite life assumption.</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3.19 Impairment of long-lived assets other than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Long-lived assets including property and equipment, intangible assets and other non-current assets other than goodwill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long-live assets’ fair value. Refer to Note 11- Property and equipment, net and Note 13-Intangible assets, net for further information.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3.20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Goodwill represents the excess of the purchase price over the fair value of net assets acquired in a business combination.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Goodwill is not depreciated or amortized but is tested for impairment on an annual basis, and between annual tests when an event occurs, or circumstances change that could indicate that the asset might be impaired. The Group first assesses qualitative factors to determine whether it is more likely than 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If the carrying amount of the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 Group performs goodwill impairment testing at the reporting unit level on December 31 annually and more frequently if indicators of impairment exist. Nil, RMB2,501,100 and nil of impairment loss of goodwill was recognized for the years ended December 31, 2020 and 2021 and 2022, respectively. Refer to Note 14- Goodwill for further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3.21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adopted ASC 842, “Leases” (“ASC 842”) on January 1, 2019, using the modified retrospective transition method through a cumulative-effect adjustment in the period of adoption rather than retrospectively adjusting prior periods and the package of practical expedient. The Group categorized leases with contractual terms longer than twelve months as either operating or finance lease.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Right-of-use (“ROU’) assets represent the Group’s rights to use underlying assets for the lease terms and lease liabilities represent the Group’s obligation to make lease payments arising from the leases. Operating lease ROU assets and lease liabilities are recognized at commencement date based on the present value of lease payments over the lease term, reduced by lease incentives received, plus any initial direct costs, using the discount rate for the lease at the commencement date. If the implicit rate in lease is not readily determinable for the Group’s operating leases, the Group generally uses the incremental borrowing rate based on the estimated rate of interest for collateralized borrowing over a similar term of the lease payments at commencement date. The Group’s lease terms may include options to extend or terminate the lease when it is reasonably certain that the Group will exercise that option. Lease expense for lease payments is recognized on a straight-line basis over the lease term. The Group elected not to separate non-lease components from lease components; therefore, it will account for lease components and the non-lease components as a single lease component when there is only one vendor in the lease contract for the office leases. Lease payments may be fixed or variable; however, only fixed payments or in-substance fixed payments are included in the lease liability calculation. Variable lease payments mainly include costs related to certain IDC facilities leases which are determined based on actual number of usages. Variable lease payments are recognized in operating expenses in the period in which the obligation for those payments are incurred.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operating leases, lease expense is recognized on a straight-line basis over the lease term. For finance leases, lease expense is recognized as depreciation on a straight-line basis over the lease term and interest using the effective interest method.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Any lease with a term of 12 months or less is considered short-term. As permitted by ASC 842, short-term leases are excluded from the ROU asset and lease liabilities on the consolidated balance sheets. Consistent with all other operating leases, short-term lease expense is recorded on a straight-line basis over the lease term.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3.22 Short-term and long-term borrowings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Borrowings are initially recognized at fair value, net of upfront fees incurred. Borrowings are subsequently measured at amortized cost. Any difference between the proceeds (net of transaction costs) and the redemption amount is recognized in profit or loss over the period of the borrowings using the effective interest method.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3.23 Statutory reserves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accordance with the relevant regulations and their articles of association, subsidiaries of the Group incorporated in the PRC are required to allocate at least 10% of their after-tax profit determined based on the PRC accounting standards and regulations to the general reserve until the reserve has reached 50% of the relevant subsidiary’s registered capital. Appropriations to the enterprise expansion fund and staff welfare and bonus fund are at the discretion of the respective company. These reserves can only be used for specific purposes and are not transferable to the Group in the form of loans, advances or cash dividends. For the years ended December 31, 2020, 2021 and 2022, appropriations to the general reserve amounted to RMB9,159, RMB11,414 and RMB41,411, respectively. No appropriations to the enterprise expansion fund or staff welfare and bonus fund have been made by the Group.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3.24 Revenue recognition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adopted ASC 606 — “Revenue from Contracts with Customers” for all periods presented. According to ASC 606, revenues from contracts with customers are recognized when control of the promised goods or services is transferred to the Group’s customers, in an amount that reflects the consideration the Group expects to be entitled to in exchange for those goods or services, after considering allowances for refund, price concession, discount and value added tax (“VAT”).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China Mobility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generates revenues from providing a variety of mobility services through its mobility platform in the PRC (“China Mobility Platform”). The Group’s revenues from its ride hailing services in the PRC presented on a gross basis accounted for more than 97% of the total revenues from China Mobility for the years ended December 31, 2020, 2021, and 2022, respectively. The Group also generates revenues from providing other mobility services such as taxi hailing, chauffeur and other services in the PRC.</w:t>
      </w:r>
    </w:p>
    <w:tbl>
      <w:tblPr>
        <w:tblW w:w="3171" w:type="dxa"/>
        <w:jc w:val="left"/>
        <w:tblInd w:w="0" w:type="dxa"/>
        <w:tblCellMar>
          <w:top w:w="28" w:type="dxa"/>
          <w:left w:w="28" w:type="dxa"/>
          <w:bottom w:w="28" w:type="dxa"/>
          <w:right w:w="28" w:type="dxa"/>
        </w:tblCellMar>
      </w:tblPr>
      <w:tblGrid>
        <w:gridCol w:w="124"/>
        <w:gridCol w:w="256"/>
        <w:gridCol w:w="2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Ride hailing services in the PRC</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provides a variety of ride hailing services on its China Mobility Platform, mainly including Express, Premium, Luxe, Select, Piggy Express and Carpooling service lines in the PRC, and considers itself as the ride service provider according to the relevant regulations in the PRC and the ride service agreements entered into with riders. For all ride hailing services offered, names of the services and the service providers with the corresponding service agreements are displayed on the Group’s China Mobility Platform. Riders can choose ride hailing services from the Group’s China Mobility Platform based on their mobility needs and preferences. When a rider selects and initiates a ride service request, an estimated service fee is displayed and the rider can further decide whether to place the service request or not. Once the rider places the ride service request and the Group accepts the service request, a ride service agreement is entered into between the rider and the Group. Upon completion of the ride services, the Group recognizes ride hailing services revenues on a gross basis.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Principal versus agent considerations of ride hailing services in the PRC</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relevant regulations in the PRC, online ride hailing services platforms are required to obtain licenses and take full responsibility of the ride services. The relevant regulations also require the licensed platforms to ensure that the drivers and cars engaged in providing ride services meet the requirements stipulated by the regulations. Accordingly, the Group as an online ride hailing services platform considers itself as the principal for its ride services because it controls the services provided to riders. The control over the services provided to riders is demonstrated through: a) the Group is able to direct registered drivers to deliver ride services on its behalf based on the ride service agreement it entered into with riders. If the assigned driver is not able to deliver the service in limited circumstances, the Group will assign another registered driver to deliver the service; b) in accordance with the agreements entered into between the Group and the drivers, the drivers are obligated to comply with service standards and implementation rules set by the Group when providing the ride services on behalf of the Group; c) the Group evaluates drivers’ performance regularly in accordance with standards set by the Group. Other indicators of the Group being the principal are demonstrated by: a) the Group is obligated to fulfill the promise to provide the ride hailing services to riders in accordance with the above regulations in the PRC and the above service agreements; b) according to applicable necessary procedures, the Group has the discretion in setting the prices for the services.</w:t>
      </w:r>
    </w:p>
    <w:tbl>
      <w:tblPr>
        <w:tblW w:w="4356" w:type="dxa"/>
        <w:jc w:val="left"/>
        <w:tblInd w:w="0" w:type="dxa"/>
        <w:tblCellMar>
          <w:top w:w="28" w:type="dxa"/>
          <w:left w:w="28" w:type="dxa"/>
          <w:bottom w:w="28" w:type="dxa"/>
          <w:right w:w="28" w:type="dxa"/>
        </w:tblCellMar>
      </w:tblPr>
      <w:tblGrid>
        <w:gridCol w:w="124"/>
        <w:gridCol w:w="256"/>
        <w:gridCol w:w="3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Taxi hailing and chauffeur services in the PRC</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provides a variety of other services on its China Mobility Platform, mainly including taxi hailing and chauffeur services. The Group considers itself as the agent for taxi hailing and chauffeur services and recognizes agency revenue earned from the service providers such as taxi drivers and chauffeur service providers.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International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derives its international revenues principally from ride hailing services in overseas countries, including Brazil and Mexico. The Group also generates revenues from food delivery services in overseas countries.</w:t>
      </w:r>
    </w:p>
    <w:tbl>
      <w:tblPr>
        <w:tblW w:w="4011" w:type="dxa"/>
        <w:jc w:val="left"/>
        <w:tblInd w:w="0" w:type="dxa"/>
        <w:tblCellMar>
          <w:top w:w="28" w:type="dxa"/>
          <w:left w:w="28" w:type="dxa"/>
          <w:bottom w:w="28" w:type="dxa"/>
          <w:right w:w="28" w:type="dxa"/>
        </w:tblCellMar>
      </w:tblPr>
      <w:tblGrid>
        <w:gridCol w:w="124"/>
        <w:gridCol w:w="256"/>
        <w:gridCol w:w="3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Ride hailing services in overseas countries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contracts with individual drivers to offer ride services on the Group’s mobility platform in overseas countries (“Overseas Mobility Platform”). When a rider raises a ride service request through the Group’s Overseas Mobility Platform, an estimated service fee is displayed and the rider can further decide whether to place the service request or not. Once the rider places the ride service request and a driver accepts the service request, a ride service agreement is entered into between the rider and the driver. The Group’s performance obligation is to facilitate and arrange the ride services between riders and drivers. The Group recognizes revenues from its service contracts with drivers upon completion of the ride services provided by drivers. In addition, in most overseas countries riders access the Group’s Overseas Mobility Platform for free and the Group has no performance obligation to the riders. As a result, in general, drivers are the Group’s customers, while riders are not.</w:t>
      </w:r>
    </w:p>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Principal versus agent considerations of ride hailing services in overseas countries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considers itself as an agent for ride hailing services provided through its Overseas Mobility Platform because the Group does not control the services provided by drivers to riders as 1) the Group does not obtain control of the drivers’ services prior to its transfer to the riders; 2) the Group does not have the power to direct drivers to perform the service on its behalf; and 3) the Group does not integrate services provided by drivers with the Group’s other services and then provide them to riders. Another indicator of the Group being the agent is that the drivers are obligated to fulfill the promise to provide the ride services according to the service agreements entered into between drivers and riders.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4131" w:type="dxa"/>
        <w:jc w:val="left"/>
        <w:tblInd w:w="0" w:type="dxa"/>
        <w:tblCellMar>
          <w:top w:w="28" w:type="dxa"/>
          <w:left w:w="28" w:type="dxa"/>
          <w:bottom w:w="28" w:type="dxa"/>
          <w:right w:w="28" w:type="dxa"/>
        </w:tblCellMar>
      </w:tblPr>
      <w:tblGrid>
        <w:gridCol w:w="124"/>
        <w:gridCol w:w="256"/>
        <w:gridCol w:w="3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Food delivery services in overseas countries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derives its food delivery revenue primarily from service fees paid by merchants and delivery persons for use of the platform and related services to successfully complete the services on the platform. The Group recognizes revenue when services provided to merchants and delivery persons are completed.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Initiatives</w:t>
      </w:r>
    </w:p>
    <w:tbl>
      <w:tblPr>
        <w:tblW w:w="2466" w:type="dxa"/>
        <w:jc w:val="left"/>
        <w:tblInd w:w="0" w:type="dxa"/>
        <w:tblCellMar>
          <w:top w:w="28" w:type="dxa"/>
          <w:left w:w="28" w:type="dxa"/>
          <w:bottom w:w="28" w:type="dxa"/>
          <w:right w:w="28" w:type="dxa"/>
        </w:tblCellMar>
      </w:tblPr>
      <w:tblGrid>
        <w:gridCol w:w="124"/>
        <w:gridCol w:w="256"/>
        <w:gridCol w:w="2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Bike and e-bike sharing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enters into rental agreements with the users at the inception of each trip. The Group is responsible for providing access to the bikes and e-bikes over the user’s desired period of use. The Group derives a majority of the revenues from rental agreements, which are classified as operating leases as defined within ASC 842, and records the rental payments received as revenues upon the completion of each trip.</w:t>
      </w:r>
    </w:p>
    <w:tbl>
      <w:tblPr>
        <w:tblW w:w="3441" w:type="dxa"/>
        <w:jc w:val="left"/>
        <w:tblInd w:w="0" w:type="dxa"/>
        <w:tblCellMar>
          <w:top w:w="28" w:type="dxa"/>
          <w:left w:w="28" w:type="dxa"/>
          <w:bottom w:w="28" w:type="dxa"/>
          <w:right w:w="28" w:type="dxa"/>
        </w:tblCellMar>
      </w:tblPr>
      <w:tblGrid>
        <w:gridCol w:w="124"/>
        <w:gridCol w:w="256"/>
        <w:gridCol w:w="3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Certain energy and vehicle services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energy and vehicle services mainly include leasing business that the Group carries out itself, refueling and charging businesses.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mainly provides operating lease services by leasing self-owned vehicles to drivers through its platform. The Group generally considers itself to be the accounting lessor, as applicable, in these arrangements in accordance with ASC 842. Revenues from these services is recognized on a straight line basis over the lease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considers itself as the agent for refueling and charging services and recognizes agency revenue primarily from its services contracts with gas stations or charging stations upon the completion of a refueling or charging order.</w:t>
      </w:r>
    </w:p>
    <w:tbl>
      <w:tblPr>
        <w:tblW w:w="2031" w:type="dxa"/>
        <w:jc w:val="left"/>
        <w:tblInd w:w="0" w:type="dxa"/>
        <w:tblCellMar>
          <w:top w:w="28" w:type="dxa"/>
          <w:left w:w="28" w:type="dxa"/>
          <w:bottom w:w="28" w:type="dxa"/>
          <w:right w:w="28" w:type="dxa"/>
        </w:tblCellMar>
      </w:tblPr>
      <w:tblGrid>
        <w:gridCol w:w="124"/>
        <w:gridCol w:w="256"/>
        <w:gridCol w:w="1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Financial services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financial services revenues mainly include interest income from micro loans services and loan intermediary services fees. The Group generates interest income from its loan receivables by applying the effective interest method in accordance with ASC 310 in micro loans services. When a loan receivable is placed on non accrual status, the Group stops accruing interest and reverses all accrued but unpaid interest as of such date, as detailed in 3.12. The Group also matches the borrowers and the lenders and earns loan intermediary service fees directly from the lenders based on the contractual agreements. A majority of the revenue derived from loan intermediary services is recognized at a point in time upon the successful matching of the borrowing requests from the borrowers with the lenders.</w:t>
      </w:r>
    </w:p>
    <w:tbl>
      <w:tblPr>
        <w:tblW w:w="1071" w:type="dxa"/>
        <w:jc w:val="left"/>
        <w:tblInd w:w="0" w:type="dxa"/>
        <w:tblCellMar>
          <w:top w:w="28" w:type="dxa"/>
          <w:left w:w="28" w:type="dxa"/>
          <w:bottom w:w="28" w:type="dxa"/>
          <w:right w:w="28" w:type="dxa"/>
        </w:tblCellMar>
      </w:tblPr>
      <w:tblGrid>
        <w:gridCol w:w="124"/>
        <w:gridCol w:w="256"/>
        <w:gridCol w:w="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Others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provides a variety of other initiatives services on its platform, including intra-city freight and other services. The Group generally recognizes revenues when services are provided to its customers.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 balances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Group classifies its right to consideration in exchange for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performs a service in advance of receiving consideration and it has the unconditional right to receive consideration. A contract asset is recorded when the Group has transferred services to the customer before payment is received or is due, and the Group’s right to consideration is conditional on future performance or other factors in the contract. Contract assets amounting to </w:t>
      </w:r>
      <w:r>
        <w:rPr>
          <w:rFonts w:ascii="Times New Roman;Times;serif" w:hAnsi="Times New Roman;Times;serif"/>
          <w:sz w:val="20"/>
          <w:highlight w:val="white"/>
        </w:rPr>
        <w:t>RMB242,231</w:t>
      </w:r>
      <w:r>
        <w:rPr>
          <w:rFonts w:ascii="Times New Roman;Times;serif" w:hAnsi="Times New Roman;Times;serif"/>
          <w:sz w:val="20"/>
        </w:rPr>
        <w:t xml:space="preserve"> and RMB299,095 were recorded in accounts and notes receivable, net in the consolidated balance sheets as of December 31,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Contract liabilities are recognized if the Group receives consideration prior to satisfying the performance obligations, which typically include advance payments from ride hailing services in the PRC. Contract liabilities as of December 31, 2021 and 2022 were </w:t>
      </w:r>
      <w:r>
        <w:rPr>
          <w:rFonts w:ascii="Times New Roman;Times;serif" w:hAnsi="Times New Roman;Times;serif"/>
          <w:sz w:val="20"/>
          <w:highlight w:val="white"/>
        </w:rPr>
        <w:t xml:space="preserve">RMB546,003 and </w:t>
      </w:r>
      <w:r>
        <w:rPr>
          <w:rFonts w:ascii="Times New Roman;Times;serif" w:hAnsi="Times New Roman;Times;serif"/>
          <w:sz w:val="20"/>
        </w:rPr>
        <w:t>RMB565,058, respectively, recognized as deferred revenue and customer advances in the consolidated balance sheets. Substantially all of contract liabilities at each reporting period end are expected to be recognized as revenues during the following year. The differences between the opening and closing balances of the Group’s contract liabilities primarily result from the timing difference between the Group’s satisfaction of the performance obligation and the customer’s payment.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Incentive Programs</w:t>
      </w:r>
    </w:p>
    <w:tbl>
      <w:tblPr>
        <w:tblW w:w="7116" w:type="dxa"/>
        <w:jc w:val="left"/>
        <w:tblInd w:w="0" w:type="dxa"/>
        <w:tblCellMar>
          <w:top w:w="28" w:type="dxa"/>
          <w:left w:w="28" w:type="dxa"/>
          <w:bottom w:w="28" w:type="dxa"/>
          <w:right w:w="28" w:type="dxa"/>
        </w:tblCellMar>
      </w:tblPr>
      <w:tblGrid>
        <w:gridCol w:w="124"/>
        <w:gridCol w:w="256"/>
        <w:gridCol w:w="6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Incentives to consumers considered as customers from an accounting perspective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China Mobility segment, riders using ride haling service, taxi drivers and chauffeur service providers are considered as the customers of the Group. For International segment, drivers providing ride hailing services, merchants and delivery persons in food delivery service are considered as the customers of the Group. For Other Initiatives segment, users in bike and e-bike sharing, lessees in leasing business that the Group carries out itself, gas stations and charging stations in energy services, borrowers in micro loans services, lenders in loan intermediary services and drivers providing intra-city freight service are generally considered as the customers of the Group.</w:t>
      </w:r>
    </w:p>
    <w:tbl>
      <w:tblPr>
        <w:tblW w:w="2181" w:type="dxa"/>
        <w:jc w:val="left"/>
        <w:tblInd w:w="0" w:type="dxa"/>
        <w:tblCellMar>
          <w:top w:w="28" w:type="dxa"/>
          <w:left w:w="28" w:type="dxa"/>
          <w:bottom w:w="28" w:type="dxa"/>
          <w:right w:w="28" w:type="dxa"/>
        </w:tblCellMar>
      </w:tblPr>
      <w:tblGrid>
        <w:gridCol w:w="124"/>
        <w:gridCol w:w="256"/>
        <w:gridCol w:w="1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Customer incentives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offers various incentive programs to the Group’s customers, including fixed amount discounts, performance-based bonus payment, etc. Incentives provided to customers are recorded as a reduction of revenue if the Group does not receive a distinct good or service or cannot reasonably estimate the fair value of the good or service received. Incentives to customers that are not provided in exchange for a distinct good or service are evaluated as variable consideration, in the most likely amount to be earned by the customers at the time or as they are earned by customers, depending on the type of incentives. Since incentives are earned over a short period of time, there is limited uncertainty when estimating variable consideration.</w:t>
      </w:r>
    </w:p>
    <w:tbl>
      <w:tblPr>
        <w:tblW w:w="2541" w:type="dxa"/>
        <w:jc w:val="left"/>
        <w:tblInd w:w="0" w:type="dxa"/>
        <w:tblCellMar>
          <w:top w:w="28" w:type="dxa"/>
          <w:left w:w="28" w:type="dxa"/>
          <w:bottom w:w="28" w:type="dxa"/>
          <w:right w:w="28" w:type="dxa"/>
        </w:tblCellMar>
      </w:tblPr>
      <w:tblGrid>
        <w:gridCol w:w="124"/>
        <w:gridCol w:w="256"/>
        <w:gridCol w:w="2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Referring new customers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Incentives earned by customers for referring new customers are paid in exchange for a distinct service and are accounted for as customer acquisition costs. The Group expenses such referral payments as incurred in sales and marketing expenses in the consolidated statements of comprehensive loss. The Group applies the </w:t>
      </w:r>
      <w:r>
        <w:rPr>
          <w:rFonts w:ascii="Times New Roman;Times;serif" w:hAnsi="Times New Roman;Times;serif"/>
          <w:b w:val="false"/>
          <w:i w:val="false"/>
          <w:caps w:val="false"/>
          <w:smallCaps w:val="false"/>
          <w:sz w:val="20"/>
        </w:rPr>
        <w:t>practical expedient</w:t>
      </w:r>
      <w:r>
        <w:rPr>
          <w:rFonts w:ascii="Times New Roman;Times;serif" w:hAnsi="Times New Roman;Times;serif"/>
          <w:sz w:val="20"/>
        </w:rPr>
        <w:t xml:space="preserve"> under ASC 340-40-25-4 and expenses costs to acquire new customer contracts as incurred because the amortization period would be one year or less. The amount recorded as an expense is the lesser of the amount of the incentive paid or the established fair value of the service received. Fair value of the service is established using amounts paid to vendors for similar services.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tbl>
      <w:tblPr>
        <w:tblW w:w="2676" w:type="dxa"/>
        <w:jc w:val="left"/>
        <w:tblInd w:w="0" w:type="dxa"/>
        <w:tblCellMar>
          <w:top w:w="28" w:type="dxa"/>
          <w:left w:w="28" w:type="dxa"/>
          <w:bottom w:w="28" w:type="dxa"/>
          <w:right w:w="28" w:type="dxa"/>
        </w:tblCellMar>
      </w:tblPr>
      <w:tblGrid>
        <w:gridCol w:w="124"/>
        <w:gridCol w:w="256"/>
        <w:gridCol w:w="2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Customer loyalty program</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riders participate in a reward program, which provides service discount vouchers and other gifts based on accumulated membership points that vary depending on the services received and fees paid, timing, and distances of each trip taken by the riders. The riders may redeem the amount of points in their membership points accounts in vouchers or other physical products via Didi Online Mall. Because the Group has an obligation to provide such vouchers and other gifts, the Group recognizes liabilities and accounts for the estimated cost of future usage of vouchers as contra-revenues when the membership points are awarded. As members redeem their points or their entitlements expire, the accrued liability is reduced correspondingly. The Group estimates the liabilities under customer loyalty program based on accumulated membership points and management’s estimate of probability of redemption in accordance with the historical redemption pattern. If actual redemption differs significantly from the estimate, it will result in an adjustment to the liability and the corresponding revenue.</w:t>
      </w:r>
    </w:p>
    <w:tbl>
      <w:tblPr>
        <w:tblW w:w="7431" w:type="dxa"/>
        <w:jc w:val="left"/>
        <w:tblInd w:w="0" w:type="dxa"/>
        <w:tblCellMar>
          <w:top w:w="28" w:type="dxa"/>
          <w:left w:w="28" w:type="dxa"/>
          <w:bottom w:w="28" w:type="dxa"/>
          <w:right w:w="28" w:type="dxa"/>
        </w:tblCellMar>
      </w:tblPr>
      <w:tblGrid>
        <w:gridCol w:w="124"/>
        <w:gridCol w:w="256"/>
        <w:gridCol w:w="7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Incentives to consumers not considered as customers from an accounting perspective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China Mobility segment, the end-users of taxi hailing and chauffeur service are not considered to be the customers of the Group from an accounting perspective. For International segment, in general, the riders using ride hailing services and end-users in food delivery services are not considered to be the customers of the Group from an accounting perspective. For Other Initiatives, end-users of intra-city freight services are generally not considered to be the customers of the Group from an accounting perspective.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at its own discretion offers incentives to such consumers to encourage their uses of its platform. These are offered in various forms that include:</w:t>
      </w:r>
    </w:p>
    <w:tbl>
      <w:tblPr>
        <w:tblW w:w="4461" w:type="dxa"/>
        <w:jc w:val="left"/>
        <w:tblInd w:w="0" w:type="dxa"/>
        <w:tblCellMar>
          <w:top w:w="28" w:type="dxa"/>
          <w:left w:w="28" w:type="dxa"/>
          <w:bottom w:w="28" w:type="dxa"/>
          <w:right w:w="28" w:type="dxa"/>
        </w:tblCellMar>
      </w:tblPr>
      <w:tblGrid>
        <w:gridCol w:w="124"/>
        <w:gridCol w:w="256"/>
        <w:gridCol w:w="4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Customized consumer discounts and promotions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discounts and promotions are offered to some consumers in a market to acquire, re-engage or generally increase the uses of the Group’s platform by such consumers, and are akin to a coupon. An example is an offer providing a discount on a limited number of rides during a limited time period. The Group records the cost of these discounts and promotions to such consumers as sales and marketing expenses at the time they are redeemed by the consumers.</w:t>
      </w:r>
    </w:p>
    <w:tbl>
      <w:tblPr>
        <w:tblW w:w="2106" w:type="dxa"/>
        <w:jc w:val="left"/>
        <w:tblInd w:w="0" w:type="dxa"/>
        <w:tblCellMar>
          <w:top w:w="28" w:type="dxa"/>
          <w:left w:w="28" w:type="dxa"/>
          <w:bottom w:w="28" w:type="dxa"/>
          <w:right w:w="28" w:type="dxa"/>
        </w:tblCellMar>
      </w:tblPr>
      <w:tblGrid>
        <w:gridCol w:w="124"/>
        <w:gridCol w:w="256"/>
        <w:gridCol w:w="1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Consumer referrals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referrals are earned when an existing consumer (“the referring consumer”) refers a new consumer (“the referred consumer”) to the Group and the referred consumer uses services offered by the Group’s platform. These consumer referrals incentives are typically paid in the form of a credit given to the referring consumer. These referrals are offered to attract new consumer to the Group. The Group records the liability for these referrals and corresponding expenses as sales and marketing expenses at the time the referral is earned by the referring consumer.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Practical Expedients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utilizes the practical expedient available under ASC 606-10-50-14 and does not disclose the value of unsatisfied performance obligations for contracts with an original expected length of one year or less.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effect of a significant financing component has not been adjusted for contracts when the Group expects, at contract inception, that the period between when the Group transfers a promised good or service to the customer and the collection of the payments from the customers will be one year or less.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3.25 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revenues, which are directly related to revenue generating transactions on the Group’s platform, primarily consists of driver earnings and driver incentives in ride hailing services of China Mobility segment, depreciation and impairment of bikes and e-bikes, vehicles, insurance cost related to service offering, payment processing charges, and bandwidth and server related costs.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3.26 Operations and support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Operations and support expenses consist primarily of personnel-related compensation expenses, including share-based compensation for the Group’s operations and support personnel, third party customer service fees, driver operation fees, other outsourcing fees and expenses related to general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3.27 Sales and 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Sales and marketing expenses consist primarily of advertising and promotion expenses, certain incentives paid to consumers not considered as customers from an accounting perspective, amortization of acquired intangible assets utilized by sales and marketing functions, and personnel related compensation expenses, including share-based compensation for the Group’s sales and marketing staff. Advertising and promotion expenses are recorded as sales and marketing expenses when incurred, and totaled RMB5,088,880</w:t>
      </w:r>
      <w:r>
        <w:rPr>
          <w:rFonts w:ascii="Times New Roman;Times;serif" w:hAnsi="Times New Roman;Times;serif"/>
          <w:sz w:val="20"/>
          <w:highlight w:val="white"/>
        </w:rPr>
        <w:t>, RMB5,401,408</w:t>
      </w:r>
      <w:r>
        <w:rPr>
          <w:rFonts w:ascii="Times New Roman;Times;serif" w:hAnsi="Times New Roman;Times;serif"/>
          <w:sz w:val="20"/>
        </w:rPr>
        <w:t xml:space="preserve"> and RMB3,297,560 for the years ended December 31, 2020, 2021 and 2022, respectively. Incentives provided to consumers amounted to RMB2,100,671, </w:t>
      </w:r>
      <w:r>
        <w:rPr>
          <w:rFonts w:ascii="Times New Roman;Times;serif" w:hAnsi="Times New Roman;Times;serif"/>
          <w:sz w:val="20"/>
          <w:highlight w:val="white"/>
        </w:rPr>
        <w:t>RMB7,465,226</w:t>
      </w:r>
      <w:r>
        <w:rPr>
          <w:rFonts w:ascii="Times New Roman;Times;serif" w:hAnsi="Times New Roman;Times;serif"/>
          <w:sz w:val="20"/>
        </w:rPr>
        <w:t xml:space="preserve"> and RMB2,778,465 for the years ended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3.28 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Research and development expenses consist primarily of personnel-related compensation expenses, including share-based compensation for employees in engineering, design and product development, depreciation of property and equipment utilized by research and development functions, and bandwidth and server related costs incurred by research and development functions. The Group expenses all research and development expenses as incurred.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3.29 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General and administrative expenses consist primarily of personnel-related compensation expenses, including share-based compensation for the Group’s managerial and administrative staff, allowances for doubtful accounts, office rental and property management fees, professional services fees, depreciation and amortization related to assets used for managerial functions, fines and miscellaneous administrative expenses.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3.30 Government grants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Government grants are generally financial grants received from provincial and local governments for operating a business in their jurisdictions or compliance with specific policies promoted by the local governments. These grants are recognized as a reduction of specific costs and expenses for which the grants are intended to compensate. Such amounts are recognized in the consolidated statements of comprehensive loss upon receipt and when all conditions attached to the grants are fulfilled. For the years ended December 31, 2020, 2021 and 2022, government grants amounted to RMB884,102, RMB990,038 and RMB458,141 are recognized as reduction of specific costs and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3.31 Share-based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accounts for share-based compensation issued to employees and non-employees in accordance with ASC 718 Compensation-Stock compensation (“ASC 718”). Generally, share-based awards are recognized as costs and expenses, except to the extent the share-based compensation is recognized in the Group’s investment income (loss), net as certain share-based awards are issued to the employees of the certain equity investee.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Share-based awards with service conditions only are measured at the grant date fair value of the awards and recognized as expenses using the graded-vesting method, net of estimated forfeitures, if any, over the requisite service period. Share-based awards that are subject to both service conditions and the occurrence of an initial public offering (“IPO”) or deemed liquidation events as performance condition are measured at the grant date fair value. Cumulative share-based compensation expenses for the awards that have satisfied the service condition were recorded on June 30, 2021, which was very close to the completion of the Group’s IPO, using the graded-vesting method. Forfeitures are estimated based on historical experience and are periodically reviewed.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with the assistance of an independent third-party valuation firm, determined fair value of share-based awards granted to employees and non-employees. Prior to the IPO, the fair value of the restricted share units (“RSUs”) was assessed using the income approach/discounted cash flow method, with a discount for lack of marketability given that the shares underlying the awards were not publicly traded at the time of grant. This assessment requires complex and subjective judgments regarding the Group’s projected financial and operating results, its unique business risks, the liquidity of its ordinary shares and its operating history and prospects at the time the grants were made. The fair value of share options is estimated on the grant date using the Binomial option pricing model. The assumptions used in share-based compensation expenses recognition represent management’s best estimates, but these estimates involve inherent uncertainties and application of management judgment. Subsequent to the completion of the Group’s IPO, the fair value of share-based awards were determined based on the market price of the Group’s publicly traded ADSs on the NYSE before its delisting in June 2022 and the Group’s ADSs have been quoted on OTC Pink under the symbol “DIDIY” thereafter, as detailed in Note 23.</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According to ASC 718, a change in any of the terms or conditions of share-based awards shall be accounted for as a modification of the plan. Therefore, the Group calculates incremental compensation cost of a modification as the excess of the fair value of the modified option over the fair value of the original option immediately before its terms are modified, measured based on the fair value and other pertinent factors at the modification date. For vested options, the Group recognizes incremental compensation cost in the period the modification occurs. For unvested options, the Group recognizes, over the remaining requisite service period, the sum of the incremental compensation cost and the remaining unrecognized compensation cost for the original award on the modification 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3.32 Segment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segments are defined as components of an enterprise engaging in businesses activities for which separate financial information is available that is regularly evaluated by the Group’s chief operating decision maker (“CODM”) in deciding how to allocate resources and assess performance.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Group’s internal organizational structure and business segments are more fully described in Note 18.</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3.33 Taxation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Current income tax is recorded in accordance with the laws of the relevant tax jurisdictions.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applies the liability method of recording income taxes in accordance of ASC Topic 740, Income Taxes (“ASC 740”), which requires the recognition of deferred tax assets and liabilities for the expected future tax consequences of events that have been included in the consolidated financial statements. Under this method, deferred tax assets and liabilities are provided based on temporary differences arising between the tax bases of assets and liabilities and the financial statements, using enacted tax rates that will be in effect in the period in which the differences are expected to reverse.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Deferred tax assets are recognized to the extent that such assets are more-likely-than-not to be realized. In making such a determination, the Group considers all positive and negative evidences, including results of recent operations and expected reversals of taxable income. Valuation allowances are provided to offset deferred tax assets if it is considered more-likely-than-not that amount of the deferred tax assets will not be realized.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Uncertain tax positions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applies the provisions of ASC 740 in accounting for uncertainty in income taxes. ASC 740 clarifies the accounting for uncertainty in income taxes by prescribing the recognition threshold that a tax position is required to meet before being recognized in the financial statements. The Group has elected to classify interest and penalties related to an uncertain tax position (if and when required) as part of “income tax expenses” in the consolidated statements of comprehensive loss. The Group did not have any significant unrecognized uncertain tax positions or any unrecognized liabilities as of December 31, 2021 and 2022. The Group did not have any interest or penalties associated with unrecognized tax benefit for the years ended December 31, 2020, 2021 and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3.34 Employee benefits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Employees of the Group in the PRC are entitled to staff welfare benefits including pension, work-related injury benefits, maternity insurance, medical insurance, unemployment benefits and housing fund plans through a PRC government-mandated multiemployer defined contribution plan. The Group is required to accrue for these benefits based on certain percentages of the employees’ salaries, up to a maximum amount specified by the local government. The Group is required to make contributions to the plans out of the amounts accrued. The PRC government is responsible for the medical benefits and the pension liability to be paid to these employees, and the Group’s obligations are limited to the amounts contributed with no legal obligation beyond the contributions made. Total amounts for such employee benefits, which were expensed as incurred, were RMB1,030,111, RMB1,808,321 and </w:t>
      </w:r>
      <w:r>
        <w:rPr>
          <w:rFonts w:ascii="Times New Roman;Times;serif" w:hAnsi="Times New Roman;Times;serif"/>
          <w:sz w:val="20"/>
          <w:highlight w:val="white"/>
        </w:rPr>
        <w:t xml:space="preserve">RMB1,940,168 </w:t>
      </w:r>
      <w:r>
        <w:rPr>
          <w:rFonts w:ascii="Times New Roman;Times;serif" w:hAnsi="Times New Roman;Times;serif"/>
          <w:sz w:val="20"/>
        </w:rPr>
        <w:t>for the years ended December 31, 2020, 2021 and 2022, respectively. The Group also makes payments to other defined contribution plans for the benefit of employees employed by subsidiaries outside of the PRC, and such amounts contributed for the years ended December 31, 2020, 2021 and 2022 were insignificant.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3.35 Comprehensive income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Comprehensive income (loss) is defined to include all changes in equity (deficit) of the Group during a period arising from transactions and other events and circumstances excluding transactions resulting from investments by shareholders and distributions to shareholders. Comprehensive income (loss) includes net loss and currency translation adjustments of the Group and share of other comprehensive income (loss) of equity method investees.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3.36 Net loss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Basic loss per share is computed by dividing net loss attributable to ordinary shareholders by the weighted average number of ordinary shares outstanding during the period using the two-class method. Under the two-class method, net loss is not allocated to other participating securities if based on their contractual terms they are not obligated to share in the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consist of unvested restricted shares and RSUs, ordinary shares issuable upon the exercise of outstanding share options using the treasury stock method, and ordinary shares issuable upon the conversion of preferred shares using the if-converted method, for periods prior to the completion of the IPO. Ordinary equivalent shares are not included in the denominator of the diluted earnings per share calculation when inclusion of such shares would be antidilutive. After the completion of the IPO, net loss per ordinary share is computed on Class A Ordinary Shares and Class B Ordinary Shares on the combined basis, because both classes have the same dividend rights in the Company’s undistributed net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3.37 Treasury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accounts for treasury shares using the cost method. Under this method, the cost incurred to purchase the shares is recorded in the treasury shares account in shareholders’ equity (deficit). The ordinary shares with future service conditions are deemed as treasury stock and also recorded in the treasury shares account in shareholders’ equity (deficit).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3.38 Business combinations and non-controlling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accounts for its business combinations using the acquisition method of accounting in accordance with ASC 805 —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During the measurement period, which can be up to one year from the acquisition date, the Group may record adjustments to the assets acquired and liabilities assumed with the corresponding offset to goodwill. Subsequent to the conclusion of the measurement period or final determination of the values of assets acquired or liabilities assumed, whichever comes first, any further adjustments are recorded in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Group’s majority-owned subsidiaries, non-controlling interests are recognized to reflect the portion of their equity which is not attributable, directly or indirectly, to the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there is a change in ownership interests or a change in contractual arrangements that results in a loss of control of a subsidiary, the Group deconsolidates the subsidiary from the date control is lost. Any retained non-controlling investment in the former subsidiary is measured at fair value and is included in the calculation of the gain or loss upon deconsolidation of the subsidiary.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allocates the acquisition cost to the assets and liabilities of the Group acquired, including separately identifiable intangible assets, based on their estimated fair values. The Group makes estimates and judgments in determining the fair value of acquired assets and liabilities, with the assistance of an independent valuation firm and management’s experience with similar assets and liabilities. In performing the purchase price allocation, the Group considers the analyses of historical financial performance and estimates of future performance of these companies acquired.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3.39 Convertible redeemable non-controlling interests and convertible non-controlling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Convertible redeemable non-controlling interests represent preferred shares financing by subsidiaries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The Group elects to use the effective interest method to account for the changes of redemption value over the period from the date of issuance to the earliest redemption date of the non-controlling interests. The Group determined that the redemption features embedded in the convertible redeemable non-controlling interests do not meet the definition of a derivative as they cannot be net settled. Therefore, such feature was not bifurcated from the mezzanine classified as non-controlling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Convertible non-controlling interests represent preferred share financing by subsidiaries of the Group from preferred shareholders, which are contingently redeemable upon certain deemed liquidation events occur. Such deemed liquidation events require the redemption of those preferred shares and cause them being classified outside of permanent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3.40 Commitments and contingencies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normal course of business, the Group is subject to contingencies, such as legal proceedings and claims arising out of its business, that cover a wide range of matters. The Group assesses these contingent liabilities, which inherently involves judgment. In assessing loss contingencies related to legal proceedings that are pending against the Group or unasserted claims that may result in legal proceedings, the Group, in consultation with its legal counsel, evaluates the perceived merits of any legal proceedings or unasserted claims as well as the perceived merits of the amount of relief sought or expected to be sought therein. An accrual for a loss contingency is recognized if it is probable that a liability has been incurred and the amount of liability can be reasonably estimated. If a potential loss is not probable, but reasonably possible, or is probable but the amount of liability cannot be reasonably estimated, then the nature of contingent liability, together with an estimate of the range of the reasonably possible loss, if determinable and material, is disclosed.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Loss contingencies considered remote are generally not disclosed unless they involve guarantees, in which case the nature of guarantee would be disclosed.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3.41 Significant risks and uncertainties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Cybersecurity review and apps takedown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 2021, the Cybersecurity Review Office posted an announcement that the Group was subject to a cybersecurity review and that it required the Group to suspend new user registration in China during the review. On July 4 and July 9, 2021, the CAC posted announcements to state that 26 apps that the Group operates in China violated relevant PRC laws and regulations in collecting personal information. Pursuant to the PRC Cybersecurity Law, relevant app stores were notified to take down these apps in China. An administrative fine of RMB8.026 billion was imposed for the violation of the Cybersecurity Law, Data Security Law and Personal Information Protection Law and was paid in the year ended December 31, 2022. On January 16, 2023, as approved by the Cybersecurity Review Office, the Group has resumed DiDi Chuxing’s registration of new users. The Group’s active apps have been restored to app stores.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fully cooperated with the PRC government authorities on the cybersecurity review and rectification measures. The Group conducted a series of rectification measures under the supervision of the PRC regulatory authorities. In addition, the Group has formulated an internal management mechanism for data security and storage, algorithm transparency and users’ right of free choice, so as to enhance employees’ attention to and awareness of these matters. The Group has organized and conducted education and training programs for employees regarding such matters as information network security, data security and storage, and user personal information protection, and strengthened employees’ awareness of legal compliance with respect to the information network security and application. However, there are uncertainties with respect to whether the Group might become subject to new cybersecurity review in the future. If the Group is unable to complete such new review and the relevant rectification, the growth and the usage of the Group’s platform in China may decline, which could materially and adversely affect the Group’s business, financial condition, results of operations and prospects.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Concentration of customers and suppliers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no customers or suppliers from whom revenues or purchases individually represent greater than 10% of the total revenues or the total purchases of the Group for the years ended December 31, 2020, 2021 and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Concentration of credit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Assets that potentially subject the Group to significant concentrations of credit risk primarily consist of cash and cash equivalents, restricted cash, accounts receivable, other receivables and time deposits. As of December 31, 2021 and 2022, substantially all of the Group’s cash and cash equivalents, restricted cash and time deposits were held by major financial institutions located in the Mainland of China and Hong Kong, which the management believes are of high credit quality. In addition, the Group held its cash and cash equivalents, restricted cash, and time deposits in different financial institutions and held no more than approximately 6% and 5% of its total assets at any single institution as of December 31,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expects that there is no significant credit risk associated with such assets aforementioned which are held by reputable financial institutions in the jurisdictions where the Company, its subsidiaries and VIEs are located. The Group believes that it is not exposed to unusual risks as these financial institutions have high credit quality. The Group has no significant concentrations of credit risk with respect to the assets mentioned above.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relies on a limited number of third parties to provide payment processing services (“payment service providers”) to collect amounts due from customers. Payment service providers are financial institutions, credit card companies and mobile payment platforms such as Alipay and WeChat Pay, which the Company believes are of high credit quality.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receivables are typically unsecured and are primarily derived from revenues earned from customers in the PRC. The credit risk with respect to accounts receivable is mitigated by credit control policies the Group carries out on its customers and its ongoing monitoring process of outstanding balances.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Foreign currency exchange rate risks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It is difficult to predict how market forces or PRC or U.S. government policy may impact the exchange rate between Renminbi and the U.S. dollar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is also exposed to foreign currency risk because of its international operations, particularly in Brazil and Mexico. While the Group generally expects to use any cash from operations in the same country where the Group receives that cash, fluctuations in the exchange rate between the currency of that country and the Renminbi will be recorded as foreign currency translation adjustments in the Group’s consolidated statements of comprehensive loss.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Currency convertibility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imposes controls on the convertibility of RMB into foreign currencies.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Operation and compliance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27, 2016, the Ministry of Transport, the Ministry of Industry and Information Technology, the Ministry of Public Security, the Ministry of Commerce, the State Administration for Market Regulation and the CAC jointly promulgated the Interim Measures for the Management of Online Ride Hailing Operation and Service (“Interim Measures”), which took effect on November 1, 2016 and was last amended on November 30, 2022, to regulate the business activities of online ride hailing services and to ensure the safety of passengers by establishing a regulatory system for the platforms, vehicles and drivers engaged in online ride hailing services. In accordance with the Interim Measures, the platform that conducts the online ride hailing services is subject to obtain the necessary permit. The vehicles used for online ride hailing services must also obtain the transportation permit for vehicles, and the drivers engaged in online ride hailing services are required to meet certain requirements and pass the relevant exams.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not obtained the required permits for certain cities when the Group is required to do so, and not all drivers or vehicles on the platforms have the required licenses or permits. Therefore, the Group had been and may continue to be subject to fines as a result. If the Group fails to remediate the non-compliance with relevant law and regulation requirements, the Group could be subject to penalties and/or an order of correction, and as a result, the Group’s business, financial condition, and results of operations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an effort to ensure compliance with applicable Interim Measures, the Group has continuously conducted the process to obtain the necessary licenses or permits in different cities. The Group is continuously making efforts to obtain necessary licenses or permits to mitigate the relevant compliance risk.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3.42 Recently adopted and issued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1, 2022, the Group adopted ASU No. 2021-10, Government Assistance (Topic 832): This ASU requires business entities to disclose information about government assistance they receive if the transactions were accounted for by analogy to either a grant or a contribution accounting model. The disclosure requirements include the nature of the transaction and the related accounting policy used, the line items on the balance sheets and statements of operations that are affected and the amounts applicable to each financial statement line item and the significant terms and conditions of the transactions. The ASU is effective for annual periods beginning after December 15, 2021. The disclosure requirements can be applied either retrospectively or prospectively to all transactions in the scope of the amendments that are reflected in the financial statements at the date of initial application and new transactions that are entered into after the date of initial application. The Group adopted the ASU prospectively on January 1, 2022. Adoption of this ASU did not have a material impact on our consolidated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June 2022, the FASB issued ASU 2022-03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the Group beginning January 1, 2024 on a prospective basis. Early adoption is permitted for both interim and annual financial statements that have not yet been issued or made available for issuance. The Group does not expect that the adoption of this guidance will have a material impact on its financial position, results of operations and cash flows.</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Financing transaction of Chengxin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2021, Chengxin, the Group’s subsidiary engaged in community group buying business, entered into a series of agreements (“Agreements”) with external investors and the Group, pursuant to which: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Chengxin issued 92,367,521 number of Series A-1 Preferred Shares for a total consideration of US$923,675 to certain external investors, including an entity controlled by Softbank Group Corp., (“Softbank”) of US$43,162.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 Chengxin issued 20,000,000 number of Series A-2 preferred shares to certain senior management of the Group and Chengxin, for a total consideration of US$200,000. To finance the purchase of Chengxin A-2 preferred shares, the senior management investment entity entered into secured term loans with Chengxin’s A-1-round investors for an aggregate amount of US$160,000.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 Chengxin issued a zero-coupon </w:t>
      </w:r>
      <w:r>
        <w:rPr>
          <w:rFonts w:ascii="Times New Roman;Times;serif" w:hAnsi="Times New Roman;Times;serif"/>
          <w:b w:val="false"/>
          <w:i w:val="false"/>
          <w:caps w:val="false"/>
          <w:smallCaps w:val="false"/>
          <w:sz w:val="20"/>
        </w:rPr>
        <w:t>seven-year</w:t>
      </w:r>
      <w:r>
        <w:rPr>
          <w:rFonts w:ascii="Times New Roman;Times;serif" w:hAnsi="Times New Roman;Times;serif"/>
          <w:sz w:val="20"/>
        </w:rPr>
        <w:t xml:space="preserve"> convertible note due 2028 (“Convertible Note”) for an aggregate principal amount of US$3,000,000 to the Group.</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The rights, preferences and privileges of the Chengxin’s holders of ordinary shares, preferred shares and Convertible Note are as follows: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Conversion right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All of the preferred shares are convertible, at the option of the holders at any time after the original issue date of the relevant series of preferred shares into such number of ordinary shares of Chengxin. Each preferred share shall automatically be converted into ordinary shares at the then effective conversion price upon the closing of a qualified IPO. The initial conversion ratio of preferred shares to ordinary shares shall be 1:1 and shall be subject to certain adjustments. The Group, as the holder of the Convertible Note, has the right to convert the outstanding principal amount under the Convertible Note to Series A-2 preferred shares at a conversion price of US$10.00 per share during the period commencing on the first anniversary of closing of issuance of Series A-1 and A-2 preferred shares to the maturity date of the Convertible Note. Furthermore, the Convertible Note will be automatically converted to the number of Series A-2 Preferred Shares at a conversion price of US$10.00 per share upon the occurrence of certain events including change of control, liquidation or the consummation of a qualified IPO of Chengxin.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Liquidation rights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Upon the occurrence of any liquidation event, whether voluntary or involuntary, all assets and funds of Chengxin legally available for distribution shall be distributed to the shareholders in the following order and manner: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Holders of preferred shares have preference over holder of ordinary shares on the distribution of assets or funds in the following sequence: Series A-1 preferred shares, Series A-2 preferred shares. The amount of preference will be </w:t>
      </w:r>
      <w:r>
        <w:rPr>
          <w:rFonts w:ascii="Times New Roman;Times;serif" w:hAnsi="Times New Roman;Times;serif"/>
          <w:b w:val="false"/>
          <w:i w:val="false"/>
          <w:caps w:val="false"/>
          <w:smallCaps w:val="false"/>
          <w:sz w:val="20"/>
        </w:rPr>
        <w:t>equal</w:t>
      </w:r>
      <w:r>
        <w:rPr>
          <w:rFonts w:ascii="Times New Roman;Times;serif" w:hAnsi="Times New Roman;Times;serif"/>
          <w:sz w:val="20"/>
        </w:rPr>
        <w:t xml:space="preserve"> to 100% of the deemed or original issuance price, plus any and all declared but unpaid dividends. After distribution of the preferred shares, all remaining assets and funds of Chengxin available for distribution to the shareholders shall be distributed ratably among all the shareholders on a fully diluted basis.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Exchange rights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Series A preferred shareholders have the options to exchange part or all of outstanding preferred shares of Chengxin into the shares of the Group provided that these preferred shareholders do not breach its non-competing undertakings, at any time after the fifth anniversary date of closing date of Series A preferred shares and as long as no qualified IPO of Chengxin has been consummated. The exchange ratio will be determined according to the respective fair market value of the Group’s ordinary shares and Chengxin preferred shares as of the date that the preferred shareholders exercise the exchange right, which shall be determined by an independent third-party valuation firm mutually agreed upon by all parties.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Financing transaction of Chengxin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Call option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 was granted a call option to purchase part or all of the outstanding Series A-1 and A-2 preferred shares held by preferred shareholders. At any time between the third anniversary and fifth anniversary of the closing of the Series A-1 and A-2 preferred shares, the Group may exercise the call option to purchase up to all of the outstanding preferred shares based on the greater of (i) the price determined according to pre-agreed pricing formula, and (ii) the fair market value of such preferred shares.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Accounting for the financing transaction of Chengxin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Agreements and upon the completion of the above transaction on March 30, 2021 (“closing date”), the Group no longer held the controlling financial interest in Chengxin. Accordingly, Chengxin was deconsolidated from the Group after March 30,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financing transaction for Chengxin did not meet the discontinued operation criteria as it did not represent a strategic shift that has a major effect on the Group’s financial results. Upon the completion of the financing transaction of Chengxin, an unrealized gain of </w:t>
      </w:r>
      <w:r>
        <w:rPr>
          <w:rFonts w:ascii="Times New Roman;Times;serif" w:hAnsi="Times New Roman;Times;serif"/>
          <w:sz w:val="20"/>
          <w:highlight w:val="white"/>
        </w:rPr>
        <w:t>RMB9,058,144</w:t>
      </w:r>
      <w:r>
        <w:rPr>
          <w:rFonts w:ascii="Times New Roman;Times;serif" w:hAnsi="Times New Roman;Times;serif"/>
          <w:sz w:val="20"/>
        </w:rPr>
        <w:t xml:space="preserve"> was recognized in the investment income (loss), net on the consolidated statement of comprehensive loss for year ended December 31, 2021, measured as the difference between the fair value of its retained non-controlling equity investment in ordinary shares in Chengxin in the amount of RMB2,628,520, and the carrying amount of net liabilities of Chengxin of RMB6,429,624 as of March 30,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Given the Group’s investment in Chengxin’s ordinary shares and right to nominate three board members out of six, the Group had the ability to exercise significant influence over Chengxin. The Group elected to apply the fair value option to the Group’s investments in ordinary shares (Note 10). The Group also applies fair value accounting to the Group’s investments on the Convertible Note (Note 9), thereby providing consistency of accounting treatment. The investments in ordinary shares and in Convertible Note (collectively, the “Investment in Chengxin”) are measured at fair value on a recurring basis with changes in fair value reflected in earnings.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Given the exchange right has a fair value exercise price and the call option has an exercise price that is equal to or higher than the fair market value of underlying preferred shares of Chengxin, both financial instruments are generally considered to have little economic value. Therefore, the Group determined that the fair value of exchange feature and call option aforementioned respectively were not significant to the consolidated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the Investments in Chengxin upon the closing of the deconsolidation of RMB16,428,250 was determined by the Group with assistance of a third-party independent appraiser, using option-pricing model (“OPM”) and back-solve method.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a result of the intense competition and tightening regulatory environment, Chengxin experienced an adverse change in its operating and financial performance during the third quarter of 2021. In light of the further adverse change during the fourth quarter of 2021 and challenges of obtaining additional financing, Chengxin revised its business plan to scale down significantly and undertake a strategic business model transition, aiming for a more sustainable operation in the near future. The fair value of the Group’s total investment in Chengxin was reduced to </w:t>
      </w:r>
      <w:r>
        <w:rPr>
          <w:rFonts w:ascii="Times New Roman;Times;serif" w:hAnsi="Times New Roman;Times;serif"/>
          <w:sz w:val="20"/>
          <w:highlight w:val="white"/>
        </w:rPr>
        <w:t>RMB 686,124</w:t>
      </w:r>
      <w:r>
        <w:rPr>
          <w:rFonts w:ascii="Times New Roman;Times;serif" w:hAnsi="Times New Roman;Times;serif"/>
          <w:sz w:val="20"/>
        </w:rPr>
        <w:t xml:space="preserve"> at December 31, 2021 due to the above reason. The fair value of the investments in Chengxin on December 31, 2021 was determined by the Group with the assistance of a third-party independent appraiser, using scenario-based model. Accordingly, the Group recognized the downward fair value changes of</w:t>
      </w:r>
      <w:r>
        <w:rPr>
          <w:rFonts w:ascii="Times New Roman;Times;serif" w:hAnsi="Times New Roman;Times;serif"/>
          <w:sz w:val="20"/>
          <w:highlight w:val="white"/>
        </w:rPr>
        <w:t xml:space="preserve"> RMB21,259,814</w:t>
      </w:r>
      <w:r>
        <w:rPr>
          <w:rFonts w:ascii="Times New Roman;Times;serif" w:hAnsi="Times New Roman;Times;serif"/>
          <w:sz w:val="20"/>
        </w:rPr>
        <w:t xml:space="preserve"> in Investments in Chengxin. Refer to Note 27 - Fair value measurement for the valuation approach and key inputs for the determination of the fair value of the Group’s Investments in Chengxin.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Financing transaction of Chengxin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Considering continuous adverse impact on Chengxin’s operating and financial performance in 2022, the shareholders of Chengxin decided that it would be in the best interests of Chengxin and its shareholders not to continue to operate the community group buying business. Therefore, Chengxin’s shareholders and board resolved to distribute all of its available assets to its shareholders, in accordance with the distribution sequences outlined in the Agreements. As a shareholder of Chengxin, the Group received its share of Chengxin’s assets of RMB1,935,171 upon the completion of the distribution in July 2022. The difference of RMB1,172,541 between the distributions received and the investment balance at December 31, 2021 was recorded in investment income (loss), net in the consolidated statement of comprehensive loss in 2022.</w:t>
      </w:r>
    </w:p>
    <w:p>
      <w:pPr>
        <w:pStyle w:val="TextBody"/>
        <w:spacing w:before="0" w:after="240"/>
        <w:ind w:left="0" w:right="0" w:hanging="0"/>
        <w:rPr>
          <w:rFonts w:ascii="Times New Roman;Times;serif" w:hAnsi="Times New Roman;Times;serif"/>
          <w:b/>
          <w:sz w:val="20"/>
        </w:rPr>
      </w:pPr>
      <w:bookmarkStart w:id="1793" w:name="Tc_JdUJnvibMkKCEiBiaLcCIw_9_0"/>
      <w:bookmarkStart w:id="1794" w:name="Tc_p0rOuh9rhk2mKmwslva90g_8_0"/>
      <w:bookmarkStart w:id="1795" w:name="Tc_Y_GH_uEw9ECh2_zYztiM9Q_7_2"/>
      <w:bookmarkStart w:id="1796" w:name="Tc_LqIrWWdfWUyNMd47BfaOwA_7_0"/>
      <w:bookmarkStart w:id="1797" w:name="Tc_al9UnHPcMkqNfZnSByow0Q_6_4"/>
      <w:bookmarkStart w:id="1798" w:name="Tc_pR4SkGPmyEalkhxNETz0fA_6_0"/>
      <w:bookmarkStart w:id="1799" w:name="Tc_c75FkFGVgkeoDwAYdpD-6w_5_0"/>
      <w:bookmarkStart w:id="1800" w:name="Tc_kw1YWKMoU0-R9S_mJU7yvA_3_4"/>
      <w:bookmarkStart w:id="1801" w:name="Tc_NyH-wuxEIEKiEc0dBYpr-A_3_2"/>
      <w:bookmarkStart w:id="1802" w:name="Tc_DENCoGluSkeIysgOzF1qag_2_4"/>
      <w:bookmarkStart w:id="1803" w:name="Tc_NqR-gw0UtU2hZd7Zd5rVOA_2_2"/>
      <w:bookmarkStart w:id="1804" w:name="Tc_Q2nyKgqLx0a4I-wygAJY0Q_1_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b/>
          <w:sz w:val="20"/>
        </w:rPr>
        <w:t>5. Short-term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is a summary of short-term investments: </w:t>
      </w:r>
    </w:p>
    <w:p>
      <w:pPr>
        <w:pStyle w:val="TextBody"/>
        <w:spacing w:before="0" w:after="0"/>
        <w:ind w:left="0" w:right="0" w:hanging="0"/>
        <w:rPr/>
      </w:pPr>
      <w:r>
        <w:rPr/>
        <w:t>​</w:t>
      </w:r>
    </w:p>
    <w:tbl>
      <w:tblPr>
        <w:tblW w:w="6775" w:type="dxa"/>
        <w:jc w:val="left"/>
        <w:tblInd w:w="0" w:type="dxa"/>
        <w:tblCellMar>
          <w:top w:w="0" w:type="dxa"/>
          <w:left w:w="0" w:type="dxa"/>
          <w:bottom w:w="0" w:type="dxa"/>
          <w:right w:w="0" w:type="dxa"/>
        </w:tblCellMar>
      </w:tblPr>
      <w:tblGrid>
        <w:gridCol w:w="3946"/>
        <w:gridCol w:w="326"/>
        <w:gridCol w:w="1036"/>
        <w:gridCol w:w="326"/>
        <w:gridCol w:w="1141"/>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505710" cy="175260"/>
                      <wp:effectExtent l="0" t="0" r="0" b="0"/>
                      <wp:wrapNone/>
                      <wp:docPr id="437" name="Frame430"/>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8"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57860" cy="175260"/>
                      <wp:effectExtent l="0" t="0" r="0" b="0"/>
                      <wp:wrapNone/>
                      <wp:docPr id="439" name="Frame43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0" name="Frame4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24535" cy="175260"/>
                      <wp:effectExtent l="0" t="0" r="0" b="0"/>
                      <wp:wrapNone/>
                      <wp:docPr id="441" name="Frame43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Time deposits stated at amortized cost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13,154,020</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16,965,708</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Structured notes under fair value option</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debt investments under fair value option</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563,799</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debt investments stated at amortized cost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185,112</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18,711</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13,343,754</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17,548,218</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805" w:name="Tc_2j9WKneOVEiPYdnMgAUwXg_11_0"/>
      <w:bookmarkStart w:id="1806" w:name="Tc_zxCLCuvIZEOXbVYLrquf2A_10_0"/>
      <w:bookmarkStart w:id="1807" w:name="Tc_ussSjHvK7UmC-IE480ayzA_9_0"/>
      <w:bookmarkStart w:id="1808" w:name="Tc_2VygUOzcuEyiWPjM9ijndw_8_0"/>
      <w:bookmarkStart w:id="1809" w:name="Tc_zHJ1RVFfyEawkC4CqP_QXA_7_6"/>
      <w:bookmarkStart w:id="1810" w:name="Tc_mAh9dy2TcUC3MRXtlF0t-w_7_4"/>
      <w:bookmarkStart w:id="1811" w:name="Tc_NMJbt5wGhkK-PP-26-ppeg_7_0"/>
      <w:bookmarkStart w:id="1812" w:name="Tc_DHSNbMYWyUmxbZm46_UsHw_6_0"/>
      <w:bookmarkStart w:id="1813" w:name="Tc_frRaK5Pw9kmnKWJ0l4lpGw_4_6"/>
      <w:bookmarkStart w:id="1814" w:name="Tc_Wt_ZO9iyA0CDv-tqcxUN_A_4_4"/>
      <w:bookmarkStart w:id="1815" w:name="Tc_T3XP2P2I-UuBvRhSsT2bzw_4_2"/>
      <w:bookmarkStart w:id="1816" w:name="Tc_ffyvlNACK0aoQQv0Z_Z5kA_3_6"/>
      <w:bookmarkStart w:id="1817" w:name="Tc__H-XzLRyJ0e-N0tNVzMe5w_3_4"/>
      <w:bookmarkStart w:id="1818" w:name="Tc_yWel2dbkz0KHAduGrLiAEw_3_2"/>
      <w:bookmarkStart w:id="1819" w:name="Tc_Xf7v5s6JF02nE0pVD6L77g_2_2"/>
      <w:bookmarkStart w:id="1820" w:name="Tc_C7Q2KvORK0e7ttwlTNhx5w_7_0"/>
      <w:bookmarkStart w:id="1821" w:name="Tc_soHRp3lOnkiA53s8ILJ_ww_6_0"/>
      <w:bookmarkStart w:id="1822" w:name="Tc_AOTyJRVyJ0yKWjcs4uaTNQ_5_0"/>
      <w:bookmarkStart w:id="1823" w:name="Tc_qcpeS_f2m06B4ulfpX_Hkw_3_4"/>
      <w:bookmarkStart w:id="1824" w:name="Tc_Khr0vbpWQUG017RiNdQGtw_3_2"/>
      <w:bookmarkStart w:id="1825" w:name="Tc_FslH2IhlP0u1Vz1yaTmnMw_2_4"/>
      <w:bookmarkStart w:id="1826" w:name="Tc_2Kjo1ftHpkGUk7epeTJEvA_2_2"/>
      <w:bookmarkStart w:id="1827" w:name="Tc_28HEjqbrI0umdRwau-J3HQ_1_2"/>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r>
        <w:rPr>
          <w:rFonts w:ascii="Times New Roman;Times;serif" w:hAnsi="Times New Roman;Times;serif"/>
          <w:b/>
          <w:sz w:val="20"/>
        </w:rPr>
        <w:t>6. Accounts and notes receivable,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and notes receivable, net consist of the following:</w:t>
      </w:r>
    </w:p>
    <w:p>
      <w:pPr>
        <w:pStyle w:val="TextBody"/>
        <w:spacing w:before="0" w:after="0"/>
        <w:ind w:left="0" w:right="0" w:hanging="0"/>
        <w:rPr/>
      </w:pPr>
      <w:r>
        <w:rPr/>
        <w:t>​</w:t>
      </w:r>
    </w:p>
    <w:tbl>
      <w:tblPr>
        <w:tblW w:w="5620" w:type="dxa"/>
        <w:jc w:val="left"/>
        <w:tblInd w:w="0" w:type="dxa"/>
        <w:tblCellMar>
          <w:top w:w="0" w:type="dxa"/>
          <w:left w:w="0" w:type="dxa"/>
          <w:bottom w:w="0" w:type="dxa"/>
          <w:right w:w="0" w:type="dxa"/>
        </w:tblCellMar>
      </w:tblPr>
      <w:tblGrid>
        <w:gridCol w:w="3001"/>
        <w:gridCol w:w="326"/>
        <w:gridCol w:w="931"/>
        <w:gridCol w:w="326"/>
        <w:gridCol w:w="1036"/>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905635" cy="175260"/>
                      <wp:effectExtent l="0" t="0" r="0" b="0"/>
                      <wp:wrapNone/>
                      <wp:docPr id="442" name="Frame435"/>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3" name="Frame4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91185" cy="175260"/>
                      <wp:effectExtent l="0" t="0" r="0" b="0"/>
                      <wp:wrapNone/>
                      <wp:docPr id="444" name="Frame43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5" name="Frame4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57860" cy="175260"/>
                      <wp:effectExtent l="0" t="0" r="0" b="0"/>
                      <wp:wrapNone/>
                      <wp:docPr id="446" name="Frame43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and notes receivable</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3,482,011</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2,944,355</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(692,722)</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Accounts and notes receivable, net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2,831,123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2,251,633</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operating lease receivable generated from lease vehicles to drivers and end-users, is recorded as accounts and notes receivable, net in the consolidated balance sheets. The operating lease receivable is subject to ASC 842 mentioned in Note 3.21. The movement of the allowances for credit losses is as follows:</w:t>
      </w:r>
    </w:p>
    <w:p>
      <w:pPr>
        <w:pStyle w:val="TextBody"/>
        <w:spacing w:before="0" w:after="0"/>
        <w:ind w:left="0" w:right="0" w:hanging="0"/>
        <w:rPr/>
      </w:pPr>
      <w:r>
        <w:rPr/>
        <w:t>​</w:t>
      </w:r>
    </w:p>
    <w:tbl>
      <w:tblPr>
        <w:tblW w:w="6907" w:type="dxa"/>
        <w:jc w:val="left"/>
        <w:tblInd w:w="0" w:type="dxa"/>
        <w:tblCellMar>
          <w:top w:w="0" w:type="dxa"/>
          <w:left w:w="0" w:type="dxa"/>
          <w:bottom w:w="0" w:type="dxa"/>
          <w:right w:w="0" w:type="dxa"/>
        </w:tblCellMar>
      </w:tblPr>
      <w:tblGrid>
        <w:gridCol w:w="3181"/>
        <w:gridCol w:w="326"/>
        <w:gridCol w:w="901"/>
        <w:gridCol w:w="326"/>
        <w:gridCol w:w="901"/>
        <w:gridCol w:w="326"/>
        <w:gridCol w:w="946"/>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19935" cy="175260"/>
                      <wp:effectExtent l="0" t="0" r="0" b="0"/>
                      <wp:wrapNone/>
                      <wp:docPr id="447" name="Frame440"/>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48"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72135" cy="175260"/>
                      <wp:effectExtent l="0" t="0" r="0" b="0"/>
                      <wp:wrapNone/>
                      <wp:docPr id="449" name="Frame44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0"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72135" cy="175260"/>
                      <wp:effectExtent l="0" t="0" r="0" b="0"/>
                      <wp:wrapNone/>
                      <wp:docPr id="451" name="Frame44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2"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00710" cy="175260"/>
                      <wp:effectExtent l="0" t="0" r="0" b="0"/>
                      <wp:wrapNone/>
                      <wp:docPr id="453" name="Frame44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pPr>
            <w:r>
              <w:rPr/>
              <w:t>    </w:t>
            </w:r>
          </w:p>
        </w:tc>
      </w:tr>
      <w:tr>
        <w:trPr/>
        <w:tc>
          <w:tcPr>
            <w:tcW w:w="31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Beginning balance prior to ASC 326</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(437,266)</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(556,360)</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Impact of adoption of ASC 326</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(71,498)</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(508,764)</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(556,360)</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(448,720)</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(596,908)</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(454,168)</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401,124</w:t>
            </w:r>
          </w:p>
        </w:tc>
        <w:tc>
          <w:tcPr>
            <w:tcW w:w="326" w:type="dxa"/>
            <w:tcBorders/>
            <w:shd w:fill="CCEEFF" w:val="clear"/>
            <w:vAlign w:val="center"/>
          </w:tcPr>
          <w:p>
            <w:pPr>
              <w:pStyle w:val="TableContents"/>
              <w:spacing w:before="0" w:after="1"/>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502,380</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412,334</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(556,360)</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(650,888)</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(692,722)</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pPr>
      <w:r>
        <w:rPr/>
        <w:t>​</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828" w:name="Tc_qnMEwJnSXEq7p4kleNuBkA_6_0"/>
      <w:bookmarkStart w:id="1829" w:name="Tc_EHtjD8ozOE2k--RLwazXHg_5_0"/>
      <w:bookmarkStart w:id="1830" w:name="Tc_4Tzczfu1v0ifCmSdIQO1Wg_4_14"/>
      <w:bookmarkStart w:id="1831" w:name="Tc_ZDVfGaADq0KmIz-BqaqdSQ_4_12"/>
      <w:bookmarkStart w:id="1832" w:name="Tc_eNgU-ZXduESk2VPxVbvr8Q_4_10"/>
      <w:bookmarkStart w:id="1833" w:name="Tc_hTjHzXmxPke3cec4XQd1KA_4_8"/>
      <w:bookmarkStart w:id="1834" w:name="Tc_g-1Es-jjZEis5aCBxy0h4Q_4_6"/>
      <w:bookmarkStart w:id="1835" w:name="Tc_MB5tqR1wCUWi01E4WekK4Q_4_4"/>
      <w:bookmarkStart w:id="1836" w:name="Tc_gWuuGrRnCk-meeZKwzF3Pg_4_2"/>
      <w:bookmarkStart w:id="1837" w:name="Tc_duJdnvVKiU6tlFWWfgK5gA_3_10"/>
      <w:bookmarkStart w:id="1838" w:name="Tc_WePyh_Lh3kq8YWDwu4eTVg_3_8"/>
      <w:bookmarkStart w:id="1839" w:name="Tc_MAc08Z5oFUax5JRSL89Rcw_2_8"/>
      <w:bookmarkStart w:id="1840" w:name="Tc_AD8tWiPZkkK7mb1Da_zeQA_1_2"/>
      <w:bookmarkStart w:id="1841" w:name="Tc_adBFkBvHX0Si6jfzDl5PAQ_12_0"/>
      <w:bookmarkStart w:id="1842" w:name="Tc_GnyD7HIiUUWkvFRgljpj9w_11_0"/>
      <w:bookmarkStart w:id="1843" w:name="Tc_mLH9B8UPT02o7uqEd-Mgdw_10_0"/>
      <w:bookmarkStart w:id="1844" w:name="Tc_3_CKZUt80E6bqUVyKs2Pvw_9_4"/>
      <w:bookmarkStart w:id="1845" w:name="Tc_r6bjxlankkaulUNz7_9vRQ_9_2"/>
      <w:bookmarkStart w:id="1846" w:name="Tc_NCWM6Voz_EK2auGaeTOJeg_9_0"/>
      <w:bookmarkStart w:id="1847" w:name="Tc_XjQ9x_jHi0mE-dAQuBFDdw_8_0"/>
      <w:bookmarkStart w:id="1848" w:name="Tc_FEY4f_nwIkyadMcznuARww_7_6"/>
      <w:bookmarkStart w:id="1849" w:name="Tc_SbFIpEZzUUuzYDfg9A2nAg_7_4"/>
      <w:bookmarkStart w:id="1850" w:name="Tc_1D2dSDkCZESGFe0ZAS4eOQ_7_0"/>
      <w:bookmarkStart w:id="1851" w:name="Tc_VE8rtz1qkUm91tOQbCK8oQ_6_0"/>
      <w:bookmarkStart w:id="1852" w:name="Tc_MVKaNNwtdEy_Lk1X_2TlEA_4_6"/>
      <w:bookmarkStart w:id="1853" w:name="Tc_QDzLH1UjzkWhI9StemTFPg_4_4"/>
      <w:bookmarkStart w:id="1854" w:name="Tc_zaZ5Ei0JEUa03LoP9uAqwQ_4_2"/>
      <w:bookmarkStart w:id="1855" w:name="Tc_nPHx69iS8U-RJ1KhZqcDHw_3_6"/>
      <w:bookmarkStart w:id="1856" w:name="Tc_BONUFyZn2EasgseMDnvC9Q_3_4"/>
      <w:bookmarkStart w:id="1857" w:name="Tc_QEETtBh0PEO-ebIX0FCiuQ_3_2"/>
      <w:bookmarkStart w:id="1858" w:name="Tc_svwkQQ0NhUmSeCQmv-6spA_2_2"/>
      <w:bookmarkStart w:id="1859" w:name="Tc_adkNg7txe0WW_1N3xxUORg_7_0"/>
      <w:bookmarkStart w:id="1860" w:name="Tc_nxUpIgtB50-oUCMpGG8lZA_6_0"/>
      <w:bookmarkStart w:id="1861" w:name="Tc_zrceBRv20UC-dsBW9-Mpmg_5_0"/>
      <w:bookmarkStart w:id="1862" w:name="Tc_B5kwdpx3GEqWZg9pYp83iQ_3_4"/>
      <w:bookmarkStart w:id="1863" w:name="Tc_S6ALJd3NqEq4oqN3tmo7VQ_3_2"/>
      <w:bookmarkStart w:id="1864" w:name="Tc_J6mz4_XHyEqsCdAUpUH1zQ_2_4"/>
      <w:bookmarkStart w:id="1865" w:name="Tc_Un-kUteP4UGdklQ0zbBU4A_2_2"/>
      <w:bookmarkStart w:id="1866" w:name="Tc_7iIM6IbN8kqcaWKazbFQog_1_2"/>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r>
        <w:rPr>
          <w:rFonts w:ascii="Times New Roman;Times;serif" w:hAnsi="Times New Roman;Times;serif"/>
          <w:b/>
          <w:sz w:val="20"/>
        </w:rPr>
        <w:t>7. Loans receivable,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Loans receivable, net consists of the following:</w:t>
      </w:r>
    </w:p>
    <w:p>
      <w:pPr>
        <w:pStyle w:val="TextBody"/>
        <w:spacing w:before="0" w:after="0"/>
        <w:ind w:left="0" w:right="0" w:hanging="0"/>
        <w:rPr/>
      </w:pPr>
      <w:r>
        <w:rPr/>
        <w:t>​</w:t>
      </w:r>
    </w:p>
    <w:tbl>
      <w:tblPr>
        <w:tblW w:w="4915" w:type="dxa"/>
        <w:jc w:val="left"/>
        <w:tblInd w:w="0" w:type="dxa"/>
        <w:tblCellMar>
          <w:top w:w="0" w:type="dxa"/>
          <w:left w:w="0" w:type="dxa"/>
          <w:bottom w:w="0" w:type="dxa"/>
          <w:right w:w="0" w:type="dxa"/>
        </w:tblCellMar>
      </w:tblPr>
      <w:tblGrid>
        <w:gridCol w:w="2296"/>
        <w:gridCol w:w="326"/>
        <w:gridCol w:w="931"/>
        <w:gridCol w:w="326"/>
        <w:gridCol w:w="1036"/>
      </w:tblGrid>
      <w:tr>
        <w:trPr/>
        <w:tc>
          <w:tcPr>
            <w:tcW w:w="2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57960" cy="175260"/>
                      <wp:effectExtent l="0" t="0" r="0" b="0"/>
                      <wp:wrapNone/>
                      <wp:docPr id="454" name="Frame447"/>
                      <a:graphic xmlns:a="http://schemas.openxmlformats.org/drawingml/2006/main">
                        <a:graphicData uri="http://schemas.microsoft.com/office/word/2010/wordprocessingShape">
                          <wps:wsp>
                            <wps:cNvSpPr txBox="1"/>
                            <wps:spPr>
                              <a:xfrm>
                                <a:off x="0" y="0"/>
                                <a:ext cx="145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5"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91185" cy="175260"/>
                      <wp:effectExtent l="0" t="0" r="0" b="0"/>
                      <wp:wrapNone/>
                      <wp:docPr id="456" name="Frame44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7" name="Frame4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57860" cy="175260"/>
                      <wp:effectExtent l="0" t="0" r="0" b="0"/>
                      <wp:wrapNone/>
                      <wp:docPr id="458" name="Frame45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2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receivable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5,248,804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5,798,839</w:t>
            </w:r>
          </w:p>
        </w:tc>
      </w:tr>
      <w:tr>
        <w:trPr/>
        <w:tc>
          <w:tcPr>
            <w:tcW w:w="22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(604,506)</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(460,212)</w:t>
            </w:r>
          </w:p>
        </w:tc>
      </w:tr>
      <w:tr>
        <w:trPr/>
        <w:tc>
          <w:tcPr>
            <w:tcW w:w="22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Loans receivable, net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4,644,298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5,338,627</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movement of the allowances for credit losses is as follows:</w:t>
      </w:r>
    </w:p>
    <w:p>
      <w:pPr>
        <w:pStyle w:val="TextBody"/>
        <w:spacing w:before="0" w:after="0"/>
        <w:ind w:left="0" w:right="0" w:hanging="0"/>
        <w:rPr/>
      </w:pPr>
      <w:r>
        <w:rPr/>
        <w:t>​</w:t>
      </w:r>
    </w:p>
    <w:tbl>
      <w:tblPr>
        <w:tblW w:w="6945" w:type="dxa"/>
        <w:jc w:val="left"/>
        <w:tblInd w:w="0" w:type="dxa"/>
        <w:tblCellMar>
          <w:top w:w="0" w:type="dxa"/>
          <w:left w:w="0" w:type="dxa"/>
          <w:bottom w:w="0" w:type="dxa"/>
          <w:right w:w="0" w:type="dxa"/>
        </w:tblCellMar>
      </w:tblPr>
      <w:tblGrid>
        <w:gridCol w:w="3436"/>
        <w:gridCol w:w="326"/>
        <w:gridCol w:w="901"/>
        <w:gridCol w:w="109"/>
        <w:gridCol w:w="901"/>
        <w:gridCol w:w="326"/>
        <w:gridCol w:w="94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81860" cy="175260"/>
                      <wp:effectExtent l="0" t="0" r="0" b="0"/>
                      <wp:wrapNone/>
                      <wp:docPr id="459" name="Frame452"/>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0" name="Frame4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72135" cy="175260"/>
                      <wp:effectExtent l="0" t="0" r="0" b="0"/>
                      <wp:wrapNone/>
                      <wp:docPr id="461" name="Frame45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2" name="Frame4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72135" cy="175260"/>
                      <wp:effectExtent l="0" t="0" r="0" b="0"/>
                      <wp:wrapNone/>
                      <wp:docPr id="463" name="Frame456"/>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4"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00710" cy="175260"/>
                      <wp:effectExtent l="0" t="0" r="0" b="0"/>
                      <wp:wrapNone/>
                      <wp:docPr id="465" name="Frame45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pPr>
            <w:r>
              <w:rPr/>
              <w:t>    </w:t>
            </w:r>
          </w:p>
        </w:tc>
      </w:tr>
      <w:tr>
        <w:trPr/>
        <w:tc>
          <w:tcPr>
            <w:tcW w:w="3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18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center"/>
              <w:rPr/>
            </w:pPr>
            <w:r>
              <w:rPr/>
              <w:t>​</w:t>
            </w:r>
          </w:p>
        </w:tc>
      </w:tr>
      <w:tr>
        <w:trPr/>
        <w:tc>
          <w:tcPr>
            <w:tcW w:w="34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Beginning balance prior to ASC 326</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(100,643)</w:t>
            </w:r>
          </w:p>
        </w:tc>
        <w:tc>
          <w:tcPr>
            <w:tcW w:w="10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(146,432)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(604,506)</w:t>
            </w:r>
          </w:p>
        </w:tc>
      </w:tr>
      <w:tr>
        <w:trPr/>
        <w:tc>
          <w:tcPr>
            <w:tcW w:w="34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Impact of adoption of ASC 326</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(50,569)</w:t>
            </w:r>
          </w:p>
        </w:tc>
        <w:tc>
          <w:tcPr>
            <w:tcW w:w="109"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4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spacing w:before="0" w:after="1"/>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(151,212)</w:t>
            </w:r>
          </w:p>
        </w:tc>
        <w:tc>
          <w:tcPr>
            <w:tcW w:w="109" w:type="dxa"/>
            <w:tcBorders/>
            <w:shd w:fill="CCEEFF" w:val="clear"/>
            <w:vAlign w:val="center"/>
          </w:tcPr>
          <w:p>
            <w:pPr>
              <w:pStyle w:val="TableContents"/>
              <w:spacing w:before="0" w:after="1"/>
              <w:ind w:left="0" w:right="0" w:hanging="0"/>
              <w:rPr/>
            </w:pPr>
            <w:r>
              <w:rPr/>
              <w:t>​</w:t>
            </w:r>
          </w:p>
        </w:tc>
        <w:tc>
          <w:tcPr>
            <w:tcW w:w="90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(146,432)</w:t>
            </w:r>
          </w:p>
        </w:tc>
        <w:tc>
          <w:tcPr>
            <w:tcW w:w="326" w:type="dxa"/>
            <w:tcBorders/>
            <w:shd w:fill="CCEEFF" w:val="clear"/>
            <w:vAlign w:val="center"/>
          </w:tcPr>
          <w:p>
            <w:pPr>
              <w:pStyle w:val="TableContents"/>
              <w:spacing w:before="0" w:after="1"/>
              <w:ind w:left="0" w:right="0" w:hanging="0"/>
              <w:rPr/>
            </w:pPr>
            <w:r>
              <w:rPr/>
              <w:t> </w:t>
            </w:r>
          </w:p>
        </w:tc>
        <w:tc>
          <w:tcPr>
            <w:tcW w:w="946"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(604,506)</w:t>
            </w:r>
          </w:p>
        </w:tc>
      </w:tr>
      <w:tr>
        <w:trPr/>
        <w:tc>
          <w:tcPr>
            <w:tcW w:w="34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(3,979)</w:t>
            </w:r>
          </w:p>
        </w:tc>
      </w:tr>
      <w:tr>
        <w:trPr/>
        <w:tc>
          <w:tcPr>
            <w:tcW w:w="34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Provision</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(153,560)</w:t>
            </w:r>
          </w:p>
        </w:tc>
        <w:tc>
          <w:tcPr>
            <w:tcW w:w="10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(557,129)</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(523,863)</w:t>
            </w:r>
          </w:p>
        </w:tc>
      </w:tr>
      <w:tr>
        <w:trPr/>
        <w:tc>
          <w:tcPr>
            <w:tcW w:w="34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Write</w:t>
              <w:noBreakHyphen/>
              <w:t>offs</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158,340</w:t>
            </w:r>
          </w:p>
        </w:tc>
        <w:tc>
          <w:tcPr>
            <w:tcW w:w="109"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99,055</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672,136</w:t>
            </w:r>
          </w:p>
        </w:tc>
      </w:tr>
      <w:tr>
        <w:trPr/>
        <w:tc>
          <w:tcPr>
            <w:tcW w:w="34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(146,432)</w:t>
            </w:r>
          </w:p>
        </w:tc>
        <w:tc>
          <w:tcPr>
            <w:tcW w:w="109" w:type="dxa"/>
            <w:tcBorders/>
            <w:shd w:fill="CCEEFF" w:val="clear"/>
            <w:vAlign w:val="center"/>
          </w:tcPr>
          <w:p>
            <w:pPr>
              <w:pStyle w:val="TableContents"/>
              <w:spacing w:before="0" w:after="1"/>
              <w:ind w:left="0" w:right="0" w:hanging="0"/>
              <w:rPr/>
            </w:pPr>
            <w:r>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(604,506)</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(460,212)</w:t>
            </w:r>
          </w:p>
        </w:tc>
      </w:tr>
    </w:tbl>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aging analysis of loans receivable by due date as of December 31, 2021 and 2022 is as follows:</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627"/>
        <w:gridCol w:w="326"/>
        <w:gridCol w:w="841"/>
        <w:gridCol w:w="326"/>
        <w:gridCol w:w="931"/>
        <w:gridCol w:w="326"/>
        <w:gridCol w:w="931"/>
        <w:gridCol w:w="326"/>
        <w:gridCol w:w="781"/>
        <w:gridCol w:w="326"/>
        <w:gridCol w:w="844"/>
        <w:gridCol w:w="326"/>
        <w:gridCol w:w="931"/>
        <w:gridCol w:w="326"/>
        <w:gridCol w:w="1037"/>
      </w:tblGrid>
      <w:tr>
        <w:trPr/>
        <w:tc>
          <w:tcPr>
            <w:tcW w:w="16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033145" cy="175260"/>
                      <wp:effectExtent l="0" t="0" r="0" b="0"/>
                      <wp:wrapNone/>
                      <wp:docPr id="466" name="Frame459"/>
                      <a:graphic xmlns:a="http://schemas.openxmlformats.org/drawingml/2006/main">
                        <a:graphicData uri="http://schemas.microsoft.com/office/word/2010/wordprocessingShape">
                          <wps:wsp>
                            <wps:cNvSpPr txBox="1"/>
                            <wps:spPr>
                              <a:xfrm>
                                <a:off x="0" y="0"/>
                                <a:ext cx="1033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7"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34035" cy="175260"/>
                      <wp:effectExtent l="0" t="0" r="0" b="0"/>
                      <wp:wrapNone/>
                      <wp:docPr id="468" name="Frame46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69" name="Frame4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91185" cy="175260"/>
                      <wp:effectExtent l="0" t="0" r="0" b="0"/>
                      <wp:wrapNone/>
                      <wp:docPr id="470" name="Frame46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1" name="Frame4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91185" cy="175260"/>
                      <wp:effectExtent l="0" t="0" r="0" b="0"/>
                      <wp:wrapNone/>
                      <wp:docPr id="472" name="Frame46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3" name="Frame4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95935" cy="175260"/>
                      <wp:effectExtent l="0" t="0" r="0" b="0"/>
                      <wp:wrapNone/>
                      <wp:docPr id="474" name="Frame46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5"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35940" cy="175260"/>
                      <wp:effectExtent l="0" t="0" r="0" b="0"/>
                      <wp:wrapNone/>
                      <wp:docPr id="476" name="Frame469"/>
                      <a:graphic xmlns:a="http://schemas.openxmlformats.org/drawingml/2006/main">
                        <a:graphicData uri="http://schemas.microsoft.com/office/word/2010/wordprocessingShape">
                          <wps:wsp>
                            <wps:cNvSpPr txBox="1"/>
                            <wps:spPr>
                              <a:xfrm>
                                <a:off x="0" y="0"/>
                                <a:ext cx="535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7"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91185" cy="175260"/>
                      <wp:effectExtent l="0" t="0" r="0" b="0"/>
                      <wp:wrapNone/>
                      <wp:docPr id="478" name="Frame47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79" name="Frame4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58495" cy="175260"/>
                      <wp:effectExtent l="0" t="0" r="0" b="0"/>
                      <wp:wrapNone/>
                      <wp:docPr id="480" name="Frame473"/>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632"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037" w:type="dxa"/>
            <w:tcBorders/>
            <w:shd w:fill="auto" w:val="clear"/>
            <w:vAlign w:val="center"/>
          </w:tcPr>
          <w:p>
            <w:pPr>
              <w:pStyle w:val="TableContents"/>
              <w:spacing w:before="0" w:after="1"/>
              <w:ind w:left="0" w:right="0" w:hanging="0"/>
              <w:jc w:val="center"/>
              <w:rPr/>
            </w:pPr>
            <w:r>
              <w:rPr/>
              <w:t>    </w:t>
            </w:r>
          </w:p>
        </w:tc>
      </w:tr>
      <w:tr>
        <w:trPr/>
        <w:tc>
          <w:tcPr>
            <w:tcW w:w="16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91 Days</w:t>
            </w:r>
          </w:p>
        </w:tc>
        <w:tc>
          <w:tcPr>
            <w:tcW w:w="326" w:type="dxa"/>
            <w:tcBorders/>
            <w:shd w:fill="auto" w:val="clear"/>
            <w:vAlign w:val="center"/>
          </w:tcPr>
          <w:p>
            <w:pPr>
              <w:pStyle w:val="TableContents"/>
              <w:spacing w:before="0" w:after="1"/>
              <w:ind w:left="0" w:right="0" w:hanging="0"/>
              <w:jc w:val="center"/>
              <w:rPr/>
            </w:pPr>
            <w:r>
              <w:rPr/>
              <w:t>​</w:t>
            </w:r>
          </w:p>
        </w:tc>
        <w:tc>
          <w:tcPr>
            <w:tcW w:w="8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7" w:type="dxa"/>
            <w:tcBorders/>
            <w:shd w:fill="auto" w:val="clear"/>
            <w:vAlign w:val="center"/>
          </w:tcPr>
          <w:p>
            <w:pPr>
              <w:pStyle w:val="TableContents"/>
              <w:spacing w:before="0" w:after="1"/>
              <w:ind w:left="0" w:right="0" w:hanging="0"/>
              <w:jc w:val="center"/>
              <w:rPr/>
            </w:pPr>
            <w:r>
              <w:rPr/>
              <w:t>​</w:t>
            </w:r>
          </w:p>
        </w:tc>
      </w:tr>
      <w:tr>
        <w:trPr/>
        <w:tc>
          <w:tcPr>
            <w:tcW w:w="16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or </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Past </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7" w:type="dxa"/>
            <w:tcBorders/>
            <w:shd w:fill="auto" w:val="clear"/>
            <w:vAlign w:val="center"/>
          </w:tcPr>
          <w:p>
            <w:pPr>
              <w:pStyle w:val="TableContents"/>
              <w:spacing w:before="0" w:after="1"/>
              <w:ind w:left="0" w:right="0" w:hanging="0"/>
              <w:rPr/>
            </w:pPr>
            <w:r>
              <w:rPr/>
              <w:t>​</w:t>
            </w:r>
          </w:p>
        </w:tc>
      </w:tr>
      <w:tr>
        <w:trPr/>
        <w:tc>
          <w:tcPr>
            <w:tcW w:w="16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1</w:t>
            </w:r>
            <w:r>
              <w:rPr>
                <w:rFonts w:ascii="Times New Roman;Times;serif" w:hAnsi="Times New Roman;Times;serif"/>
                <w:sz w:val="16"/>
              </w:rPr>
              <w:noBreakHyphen/>
            </w:r>
            <w:r>
              <w:rPr>
                <w:rFonts w:ascii="Times New Roman;Times;serif" w:hAnsi="Times New Roman;Times;serif"/>
                <w:b/>
                <w:sz w:val="16"/>
              </w:rPr>
              <w:t>30 Days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31</w:t>
            </w:r>
            <w:r>
              <w:rPr>
                <w:rFonts w:ascii="Times New Roman;Times;serif" w:hAnsi="Times New Roman;Times;serif"/>
                <w:sz w:val="16"/>
              </w:rPr>
              <w:noBreakHyphen/>
            </w:r>
            <w:r>
              <w:rPr>
                <w:rFonts w:ascii="Times New Roman;Times;serif" w:hAnsi="Times New Roman;Times;serif"/>
                <w:b/>
                <w:sz w:val="16"/>
              </w:rPr>
              <w:t>60 Days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61</w:t>
            </w:r>
            <w:r>
              <w:rPr>
                <w:rFonts w:ascii="Times New Roman;Times;serif" w:hAnsi="Times New Roman;Times;serif"/>
                <w:sz w:val="16"/>
              </w:rPr>
              <w:noBreakHyphen/>
            </w:r>
            <w:r>
              <w:rPr>
                <w:rFonts w:ascii="Times New Roman;Times;serif" w:hAnsi="Times New Roman;Times;serif"/>
                <w:b/>
                <w:sz w:val="16"/>
              </w:rPr>
              <w:t>90 Days</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Greater</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Due</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shd w:fill="auto" w:val="clear"/>
            <w:vAlign w:val="center"/>
          </w:tcPr>
          <w:p>
            <w:pPr>
              <w:pStyle w:val="TableContents"/>
              <w:spacing w:before="0" w:after="1"/>
              <w:ind w:left="0" w:right="0" w:hanging="0"/>
              <w:rPr/>
            </w:pPr>
            <w:r>
              <w:rPr/>
              <w:t>    </w:t>
            </w:r>
          </w:p>
        </w:tc>
        <w:tc>
          <w:tcPr>
            <w:tcW w:w="103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2021</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75,785</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59,394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51,035</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200,759</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386,973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4,861,831</w:t>
            </w:r>
          </w:p>
        </w:tc>
        <w:tc>
          <w:tcPr>
            <w:tcW w:w="326" w:type="dxa"/>
            <w:tcBorders/>
            <w:shd w:fill="CCEEFF" w:val="clear"/>
            <w:vAlign w:val="center"/>
          </w:tcPr>
          <w:p>
            <w:pPr>
              <w:pStyle w:val="TableContents"/>
              <w:spacing w:before="0" w:after="1"/>
              <w:ind w:left="0" w:right="0" w:hanging="0"/>
              <w:rPr/>
            </w:pPr>
            <w:r>
              <w:rPr/>
              <w:t> </w:t>
            </w:r>
          </w:p>
        </w:tc>
        <w:tc>
          <w:tcPr>
            <w:tcW w:w="10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5,248,804</w:t>
            </w:r>
          </w:p>
        </w:tc>
      </w:tr>
      <w:tr>
        <w:trPr/>
        <w:tc>
          <w:tcPr>
            <w:tcW w:w="162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70,990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42,495</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38,340</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95,028</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246,853</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5,551,986</w:t>
            </w:r>
          </w:p>
        </w:tc>
        <w:tc>
          <w:tcPr>
            <w:tcW w:w="326" w:type="dxa"/>
            <w:tcBorders/>
            <w:shd w:fill="auto" w:val="clear"/>
            <w:vAlign w:val="center"/>
          </w:tcPr>
          <w:p>
            <w:pPr>
              <w:pStyle w:val="TableContents"/>
              <w:spacing w:before="0" w:after="1"/>
              <w:ind w:left="0" w:right="0" w:hanging="0"/>
              <w:rPr/>
            </w:pPr>
            <w:r>
              <w:rPr/>
              <w:t> </w:t>
            </w:r>
          </w:p>
        </w:tc>
        <w:tc>
          <w:tcPr>
            <w:tcW w:w="1037"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5,798,839</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867" w:name="Tc_G0oS7228bUeyTThLZTrzdw_8_0"/>
      <w:bookmarkStart w:id="1868" w:name="Tc_GwgTxKwGhEGeZTJUdNACfw_7_0"/>
      <w:bookmarkStart w:id="1869" w:name="Tc_s3VIhho87kiyFMLkqNqBVA_6_0"/>
      <w:bookmarkStart w:id="1870" w:name="Tc_ed37LZCMtU6tez8eCFhLKQ_5_0"/>
      <w:bookmarkStart w:id="1871" w:name="Tc_7URAXLlEZEC13IZ3Tw5pcg_3_6"/>
      <w:bookmarkStart w:id="1872" w:name="Tc_cCW2n3nwn0qF9YGDIF2oBA_3_4"/>
      <w:bookmarkStart w:id="1873" w:name="Tc_ZilFnw_Tc0Sr42h05XFhVg_3_2"/>
      <w:bookmarkStart w:id="1874" w:name="Tc_5WnHiujVJ0mUzStyZhd_Nw_2_6"/>
      <w:bookmarkStart w:id="1875" w:name="Tc_VTolKGjW_UiJCDhHXEV7EA_2_4"/>
      <w:bookmarkStart w:id="1876" w:name="Tc_xZWqAeWJdECwC1JRGXJnVQ_2_2"/>
      <w:bookmarkStart w:id="1877" w:name="Tc_ulEZs6sze0mTKGqXkHaT-g_1_2"/>
      <w:bookmarkStart w:id="1878" w:name="Tc_XI_1OebdZEmuuotvKXLdMQ_12_0"/>
      <w:bookmarkStart w:id="1879" w:name="Tc_6pgA2o6dM0mJGgP5W-PbjQ_11_0"/>
      <w:bookmarkStart w:id="1880" w:name="Tc_nQK_VMXqxEWeGcAgRFl2Kg_10_0"/>
      <w:bookmarkStart w:id="1881" w:name="Tc_6S6VO9yXKU2OjqQhs4CeGw_9_0"/>
      <w:bookmarkStart w:id="1882" w:name="Tc_Ltmk3HKGOUiOvyFy-5ojeA_8_0"/>
      <w:bookmarkStart w:id="1883" w:name="Tc_4irn_qE0TU6uShUtD5K71A_7_0"/>
      <w:bookmarkStart w:id="1884" w:name="Tc_PH8cyVgUdUa-jwklYlwSUg_6_0"/>
      <w:bookmarkStart w:id="1885" w:name="Tc_w_9WRoBg8Emv2I0-rJcrcQ_3_4"/>
      <w:bookmarkStart w:id="1886" w:name="Tc_kkpGVTa-IEKWwYDfUv3XxQ_3_2"/>
      <w:bookmarkStart w:id="1887" w:name="Tc_Nm-iUKTGa06mCk6odykInA_2_4"/>
      <w:bookmarkStart w:id="1888" w:name="Tc_t6NAfDGbCU-fJupP286sGw_2_2"/>
      <w:bookmarkStart w:id="1889" w:name="Tc_5gNpIPSJU0irJXyxPYn6nw_1_2"/>
      <w:bookmarkStart w:id="1890" w:name="Tc_mbBamjwVmUSFx9iKO9x0jA_15_0"/>
      <w:bookmarkStart w:id="1891" w:name="Tc_xjNpxJwoUka5cYbshBK_uw_14_0"/>
      <w:bookmarkStart w:id="1892" w:name="Tc_wrQjoTDV6UCCMFQwdnHZnw_13_0"/>
      <w:bookmarkStart w:id="1893" w:name="Tc_-PdqYxZzD0Ky3aLihXw8ug_12_0"/>
      <w:bookmarkStart w:id="1894" w:name="Tc_d3IwcEu3mECe-Y124rqJxg_11_0"/>
      <w:bookmarkStart w:id="1895" w:name="Tc_nHo5TBw390W6l1T5m5YVOg_10_0"/>
      <w:bookmarkStart w:id="1896" w:name="Tc_odFjWY-mRkiWUV8pXawlrQ_9_0"/>
      <w:bookmarkStart w:id="1897" w:name="Tc_2u_HlLpfTEG8vm1HTkgD8w_8_0"/>
      <w:bookmarkStart w:id="1898" w:name="Tc_KtKnZlbkjUiBO-7ZN9Ofcw_7_0"/>
      <w:bookmarkStart w:id="1899" w:name="Tc_ycGF8AU9TU-gV9qDK0XmNQ_6_0"/>
      <w:bookmarkStart w:id="1900" w:name="Tc_1D5clvKB4E2tB2IRsN-01g_5_0"/>
      <w:bookmarkStart w:id="1901" w:name="Tc_qPrVXbIJwUydYXjVHb9tsw_3_4"/>
      <w:bookmarkStart w:id="1902" w:name="Tc_BHmobGh5x0OmgInifziibQ_3_2"/>
      <w:bookmarkStart w:id="1903" w:name="Tc_GLIAEwf4yEGgMVa07H00eQ_2_4"/>
      <w:bookmarkStart w:id="1904" w:name="Tc_BuNRm05LGk6WoVC0Y4SyPQ_2_2"/>
      <w:bookmarkStart w:id="1905" w:name="Tc_qOea-TljC0GxQO4O3M9Gaw_1_2"/>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r>
        <w:rPr>
          <w:rFonts w:ascii="Times New Roman;Times;serif" w:hAnsi="Times New Roman;Times;serif"/>
          <w:b/>
          <w:sz w:val="20"/>
        </w:rPr>
        <w:t>8. Prepayments, receivables and other current assets, net and other non-current assets,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Prepayments, receivables and other current assets, net consist of the following:</w:t>
      </w:r>
    </w:p>
    <w:p>
      <w:pPr>
        <w:pStyle w:val="TextBody"/>
        <w:spacing w:before="0" w:after="0"/>
        <w:ind w:left="0" w:right="0" w:hanging="0"/>
        <w:rPr/>
      </w:pPr>
      <w:r>
        <w:rPr/>
        <w:t>​</w:t>
      </w:r>
    </w:p>
    <w:tbl>
      <w:tblPr>
        <w:tblW w:w="9445" w:type="dxa"/>
        <w:jc w:val="left"/>
        <w:tblInd w:w="0" w:type="dxa"/>
        <w:tblCellMar>
          <w:top w:w="0" w:type="dxa"/>
          <w:left w:w="0" w:type="dxa"/>
          <w:bottom w:w="0" w:type="dxa"/>
          <w:right w:w="0" w:type="dxa"/>
        </w:tblCellMar>
      </w:tblPr>
      <w:tblGrid>
        <w:gridCol w:w="6826"/>
        <w:gridCol w:w="326"/>
        <w:gridCol w:w="931"/>
        <w:gridCol w:w="326"/>
        <w:gridCol w:w="1036"/>
      </w:tblGrid>
      <w:tr>
        <w:trPr/>
        <w:tc>
          <w:tcPr>
            <w:tcW w:w="6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334510" cy="175260"/>
                      <wp:effectExtent l="0" t="0" r="0" b="0"/>
                      <wp:wrapNone/>
                      <wp:docPr id="481" name="Frame474"/>
                      <a:graphic xmlns:a="http://schemas.openxmlformats.org/drawingml/2006/main">
                        <a:graphicData uri="http://schemas.microsoft.com/office/word/2010/wordprocessingShape">
                          <wps:wsp>
                            <wps:cNvSpPr txBox="1"/>
                            <wps:spPr>
                              <a:xfrm>
                                <a:off x="0" y="0"/>
                                <a:ext cx="433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2"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91185" cy="175260"/>
                      <wp:effectExtent l="0" t="0" r="0" b="0"/>
                      <wp:wrapNone/>
                      <wp:docPr id="483" name="Frame47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4"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57860" cy="175260"/>
                      <wp:effectExtent l="0" t="0" r="0" b="0"/>
                      <wp:wrapNone/>
                      <wp:docPr id="485" name="Frame47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Deductible VAT-input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1,553,800</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1,533,722</w:t>
            </w:r>
          </w:p>
        </w:tc>
      </w:tr>
      <w:tr>
        <w:trPr/>
        <w:tc>
          <w:tcPr>
            <w:tcW w:w="682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Rental deposits and other deposits, net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189,840</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424,492</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for promotion and advertising expenses and other operation expenses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371,149</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388,284</w:t>
            </w:r>
          </w:p>
        </w:tc>
      </w:tr>
      <w:tr>
        <w:trPr/>
        <w:tc>
          <w:tcPr>
            <w:tcW w:w="682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Advances to employees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303,050</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375,468</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Payments to drivers and partners on behalf of end-users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148,971</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308,627</w:t>
            </w:r>
          </w:p>
        </w:tc>
      </w:tr>
      <w:tr>
        <w:trPr/>
        <w:tc>
          <w:tcPr>
            <w:tcW w:w="682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for insurance costs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239,417</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204,915</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197,957</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135,480</w:t>
            </w:r>
          </w:p>
        </w:tc>
      </w:tr>
      <w:tr>
        <w:trPr/>
        <w:tc>
          <w:tcPr>
            <w:tcW w:w="682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receivables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13,293</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74,126</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finance lease receivables, net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44,020</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21,616</w:t>
            </w:r>
          </w:p>
        </w:tc>
      </w:tr>
      <w:tr>
        <w:trPr/>
        <w:tc>
          <w:tcPr>
            <w:tcW w:w="682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 net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896,478</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726,222</w:t>
            </w:r>
          </w:p>
        </w:tc>
      </w:tr>
      <w:tr>
        <w:trPr/>
        <w:tc>
          <w:tcPr>
            <w:tcW w:w="682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3,957,975</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4,192,952</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non-current assets, net consist of the following:</w:t>
      </w:r>
    </w:p>
    <w:p>
      <w:pPr>
        <w:pStyle w:val="TextBody"/>
        <w:spacing w:before="0" w:after="0"/>
        <w:ind w:left="0" w:right="0" w:hanging="0"/>
        <w:rPr/>
      </w:pPr>
      <w:r>
        <w:rPr/>
        <w:t>​</w:t>
      </w:r>
    </w:p>
    <w:tbl>
      <w:tblPr>
        <w:tblW w:w="9325" w:type="dxa"/>
        <w:jc w:val="left"/>
        <w:tblInd w:w="0" w:type="dxa"/>
        <w:tblCellMar>
          <w:top w:w="0" w:type="dxa"/>
          <w:left w:w="0" w:type="dxa"/>
          <w:bottom w:w="0" w:type="dxa"/>
          <w:right w:w="0" w:type="dxa"/>
        </w:tblCellMar>
      </w:tblPr>
      <w:tblGrid>
        <w:gridCol w:w="6706"/>
        <w:gridCol w:w="326"/>
        <w:gridCol w:w="931"/>
        <w:gridCol w:w="326"/>
        <w:gridCol w:w="1036"/>
      </w:tblGrid>
      <w:tr>
        <w:trPr/>
        <w:tc>
          <w:tcPr>
            <w:tcW w:w="6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58310" cy="175260"/>
                      <wp:effectExtent l="0" t="0" r="0" b="0"/>
                      <wp:wrapNone/>
                      <wp:docPr id="486" name="Frame479"/>
                      <a:graphic xmlns:a="http://schemas.openxmlformats.org/drawingml/2006/main">
                        <a:graphicData uri="http://schemas.microsoft.com/office/word/2010/wordprocessingShape">
                          <wps:wsp>
                            <wps:cNvSpPr txBox="1"/>
                            <wps:spPr>
                              <a:xfrm>
                                <a:off x="0" y="0"/>
                                <a:ext cx="425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7" name="Frame4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91185" cy="175260"/>
                      <wp:effectExtent l="0" t="0" r="0" b="0"/>
                      <wp:wrapNone/>
                      <wp:docPr id="488" name="Frame48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89" name="Frame4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57860" cy="175260"/>
                      <wp:effectExtent l="0" t="0" r="0" b="0"/>
                      <wp:wrapNone/>
                      <wp:docPr id="490" name="Frame48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6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670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Deductible VAT-input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1,070,370</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864,319</w:t>
            </w:r>
          </w:p>
        </w:tc>
      </w:tr>
      <w:tr>
        <w:trPr/>
        <w:tc>
          <w:tcPr>
            <w:tcW w:w="67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for purchase of property and equipment and other non</w:t>
              <w:noBreakHyphen/>
              <w:t>current assets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166,425</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570,639</w:t>
            </w:r>
          </w:p>
        </w:tc>
      </w:tr>
      <w:tr>
        <w:trPr/>
        <w:tc>
          <w:tcPr>
            <w:tcW w:w="670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for long-term investments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252,995</w:t>
            </w:r>
          </w:p>
        </w:tc>
      </w:tr>
      <w:tr>
        <w:trPr/>
        <w:tc>
          <w:tcPr>
            <w:tcW w:w="67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Rental deposits and other deposits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203,154</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153,240</w:t>
            </w:r>
          </w:p>
        </w:tc>
      </w:tr>
      <w:tr>
        <w:trPr/>
        <w:tc>
          <w:tcPr>
            <w:tcW w:w="670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Long-term finance lease receivables, net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41,579</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14,261</w:t>
            </w:r>
          </w:p>
        </w:tc>
      </w:tr>
      <w:tr>
        <w:trPr/>
        <w:tc>
          <w:tcPr>
            <w:tcW w:w="67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17,942</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r>
      <w:tr>
        <w:trPr/>
        <w:tc>
          <w:tcPr>
            <w:tcW w:w="670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1,699,470</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1,860,865</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movement of the allowances for credit losses of short-term and long-term finance lease receivables is as follows:</w:t>
      </w:r>
    </w:p>
    <w:p>
      <w:pPr>
        <w:pStyle w:val="TextBody"/>
        <w:spacing w:before="0" w:after="0"/>
        <w:ind w:left="0" w:right="0" w:hanging="0"/>
        <w:rPr/>
      </w:pPr>
      <w:r>
        <w:rPr/>
        <w:t>​</w:t>
      </w:r>
    </w:p>
    <w:tbl>
      <w:tblPr>
        <w:tblW w:w="6045" w:type="dxa"/>
        <w:jc w:val="left"/>
        <w:tblInd w:w="0" w:type="dxa"/>
        <w:tblCellMar>
          <w:top w:w="0" w:type="dxa"/>
          <w:left w:w="0" w:type="dxa"/>
          <w:bottom w:w="0" w:type="dxa"/>
          <w:right w:w="0" w:type="dxa"/>
        </w:tblCellMar>
      </w:tblPr>
      <w:tblGrid>
        <w:gridCol w:w="2851"/>
        <w:gridCol w:w="326"/>
        <w:gridCol w:w="796"/>
        <w:gridCol w:w="109"/>
        <w:gridCol w:w="796"/>
        <w:gridCol w:w="326"/>
        <w:gridCol w:w="841"/>
      </w:tblGrid>
      <w:tr>
        <w:trPr/>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810385" cy="175260"/>
                      <wp:effectExtent l="0" t="0" r="0" b="0"/>
                      <wp:wrapNone/>
                      <wp:docPr id="491" name="Frame484"/>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2" name="Frame4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05460" cy="175260"/>
                      <wp:effectExtent l="0" t="0" r="0" b="0"/>
                      <wp:wrapNone/>
                      <wp:docPr id="493" name="Frame48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94" name="Frame4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05460" cy="175260"/>
                      <wp:effectExtent l="0" t="0" r="0" b="0"/>
                      <wp:wrapNone/>
                      <wp:docPr id="495" name="Frame48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6" name="Frame4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34035" cy="175260"/>
                      <wp:effectExtent l="0" t="0" r="0" b="0"/>
                      <wp:wrapNone/>
                      <wp:docPr id="497" name="Frame49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8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8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r>
      <w:tr>
        <w:trPr/>
        <w:tc>
          <w:tcPr>
            <w:tcW w:w="285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beginning of the year</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(3,871)</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(72,167)</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(11,405)</w:t>
            </w:r>
          </w:p>
        </w:tc>
      </w:tr>
      <w:tr>
        <w:trPr/>
        <w:tc>
          <w:tcPr>
            <w:tcW w:w="285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Reversal/(Provision)</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(73,004)</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12,757</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r>
      <w:tr>
        <w:trPr/>
        <w:tc>
          <w:tcPr>
            <w:tcW w:w="285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Write</w:t>
              <w:noBreakHyphen/>
              <w:t>offs</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4,708</w:t>
            </w:r>
          </w:p>
        </w:tc>
        <w:tc>
          <w:tcPr>
            <w:tcW w:w="109"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48,005</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11,382</w:t>
            </w:r>
          </w:p>
        </w:tc>
      </w:tr>
      <w:tr>
        <w:trPr/>
        <w:tc>
          <w:tcPr>
            <w:tcW w:w="285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end of the year</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(72,167)</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(11,405)</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r>
    </w:tbl>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1906" w:name="Tc_9GYuwIckDEKU2e2dm19gzA_7_0"/>
      <w:bookmarkStart w:id="1907" w:name="Tc_PmzGVLKsFECJw-TkBGikgg_6_0"/>
      <w:bookmarkStart w:id="1908" w:name="Tc_MrimBSmN40ipCbY88idaBQ_5_0"/>
      <w:bookmarkStart w:id="1909" w:name="Tc_j0s-FE3EwUmnG6jVxccqIg_4_0"/>
      <w:bookmarkStart w:id="1910" w:name="Tc_Nhw6Elz9v0CUGn1ViNRwMg_3_2"/>
      <w:bookmarkStart w:id="1911" w:name="Tc_QoftaF2dHEWNUo1lqZdiBw_2_2"/>
      <w:bookmarkStart w:id="1912" w:name="Tc_wsWUIVXtp0WnOW3gPxig7g_1_2"/>
      <w:bookmarkStart w:id="1913" w:name="Tc_pPXjvK35DUODJTmZELekZQ_7_0"/>
      <w:bookmarkStart w:id="1914" w:name="Tc_AKm3Ks4BnkerO9xiFAG8gA_6_0"/>
      <w:bookmarkStart w:id="1915" w:name="Tc_XsyOBjtgGkm2m7AXun_cqA_5_0"/>
      <w:bookmarkStart w:id="1916" w:name="Tc_z_OypEpHnE-GBM7Lu4ZuiA_3_4"/>
      <w:bookmarkStart w:id="1917" w:name="Tc_0Dho3ftbvUW4266xJbDJ_w_3_2"/>
      <w:bookmarkStart w:id="1918" w:name="Tc_3KFR4G3vNkm642C7WqZY6A_2_4"/>
      <w:bookmarkStart w:id="1919" w:name="Tc_4J69ncjV8Ea3JfGw5RjEuQ_2_2"/>
      <w:bookmarkStart w:id="1920" w:name="Tc_Yeih_I-ZGk-MAk_K-U1eZA_1_2"/>
      <w:bookmarkStart w:id="1921" w:name="Tc_54xShePmF0OdssqIJwJgXA_8_0"/>
      <w:bookmarkStart w:id="1922" w:name="Tc_nNn-A8vLs0WOY-yxNIqg0Q_7_0"/>
      <w:bookmarkStart w:id="1923" w:name="Tc_KlzRExFPpk2aIor7VIq9xg_6_0"/>
      <w:bookmarkStart w:id="1924" w:name="Tc_6DcyxdRt00yU8YnwoNFaEQ_5_0"/>
      <w:bookmarkStart w:id="1925" w:name="Tc_R95UPX6VFUyw3PoaIunAfQ_3_4"/>
      <w:bookmarkStart w:id="1926" w:name="Tc_f97ls9q9uUmPVei0xVySPg_3_2"/>
      <w:bookmarkStart w:id="1927" w:name="Tc_sg4DQ8KVPkCulvouhFmkIA_2_4"/>
      <w:bookmarkStart w:id="1928" w:name="Tc_93Zo3BOx4E65pkG_uQylKw_2_2"/>
      <w:bookmarkStart w:id="1929" w:name="Tc_9WG72Ad_QEayKH5oRZaaRg_1_2"/>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r>
        <w:rPr>
          <w:rFonts w:ascii="Times New Roman;Times;serif" w:hAnsi="Times New Roman;Times;serif"/>
          <w:b/>
          <w:sz w:val="20"/>
        </w:rPr>
        <w:t>9. Investment securities and other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investment securities and other investments:</w:t>
      </w:r>
    </w:p>
    <w:p>
      <w:pPr>
        <w:pStyle w:val="TextBody"/>
        <w:spacing w:before="0" w:after="0"/>
        <w:ind w:left="0" w:right="0" w:hanging="0"/>
        <w:rPr/>
      </w:pPr>
      <w:r>
        <w:rPr/>
        <w:t>​</w:t>
      </w:r>
    </w:p>
    <w:tbl>
      <w:tblPr>
        <w:tblW w:w="6325" w:type="dxa"/>
        <w:jc w:val="left"/>
        <w:tblInd w:w="0" w:type="dxa"/>
        <w:tblCellMar>
          <w:top w:w="0" w:type="dxa"/>
          <w:left w:w="0" w:type="dxa"/>
          <w:bottom w:w="0" w:type="dxa"/>
          <w:right w:w="0" w:type="dxa"/>
        </w:tblCellMar>
      </w:tblPr>
      <w:tblGrid>
        <w:gridCol w:w="3496"/>
        <w:gridCol w:w="326"/>
        <w:gridCol w:w="1036"/>
        <w:gridCol w:w="326"/>
        <w:gridCol w:w="1141"/>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219960" cy="175260"/>
                      <wp:effectExtent l="0" t="0" r="0" b="0"/>
                      <wp:wrapNone/>
                      <wp:docPr id="498" name="Frame491"/>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499" name="Frame4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57860" cy="175260"/>
                      <wp:effectExtent l="0" t="0" r="0" b="0"/>
                      <wp:wrapNone/>
                      <wp:docPr id="500" name="Frame4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1"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24535" cy="175260"/>
                      <wp:effectExtent l="0" t="0" r="0" b="0"/>
                      <wp:wrapNone/>
                      <wp:docPr id="502" name="Frame49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Debt investments stated at amortized cost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3,878,744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8,706,590</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Listed equity securities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13,342,946</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1,412,803</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2,577,951</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0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18,634,493</w:t>
            </w:r>
          </w:p>
        </w:tc>
        <w:tc>
          <w:tcPr>
            <w:tcW w:w="326" w:type="dxa"/>
            <w:tcBorders/>
            <w:shd w:fill="auto" w:val="clear"/>
            <w:vAlign w:val="center"/>
          </w:tcPr>
          <w:p>
            <w:pPr>
              <w:pStyle w:val="TableContents"/>
              <w:spacing w:before="0" w:after="0"/>
              <w:ind w:left="0" w:right="0" w:hanging="0"/>
              <w:rPr/>
            </w:pPr>
            <w:r>
              <w:rPr/>
              <w:t> </w:t>
            </w:r>
          </w:p>
        </w:tc>
        <w:tc>
          <w:tcPr>
            <w:tcW w:w="1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18,010,307</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and 2022, the Group’s investment securities and other investments comprised of i) debt investments, which are accounted for at amortized cost, ii) listed equity securities, which are publicly traded stocks or funds measured at fair value, iii) other investments, which the fair value option was selected.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debt investments stated at amortized cost:</w:t>
      </w:r>
    </w:p>
    <w:p>
      <w:pPr>
        <w:pStyle w:val="TextBody"/>
        <w:spacing w:before="0" w:after="0"/>
        <w:ind w:left="0" w:right="0" w:hanging="0"/>
        <w:rPr/>
      </w:pPr>
      <w:r>
        <w:rPr/>
        <w:t>​</w:t>
      </w:r>
    </w:p>
    <w:tbl>
      <w:tblPr>
        <w:tblW w:w="6565" w:type="dxa"/>
        <w:jc w:val="left"/>
        <w:tblInd w:w="0" w:type="dxa"/>
        <w:tblCellMar>
          <w:top w:w="0" w:type="dxa"/>
          <w:left w:w="0" w:type="dxa"/>
          <w:bottom w:w="0" w:type="dxa"/>
          <w:right w:w="0" w:type="dxa"/>
        </w:tblCellMar>
      </w:tblPr>
      <w:tblGrid>
        <w:gridCol w:w="3946"/>
        <w:gridCol w:w="326"/>
        <w:gridCol w:w="931"/>
        <w:gridCol w:w="326"/>
        <w:gridCol w:w="103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505710" cy="175260"/>
                      <wp:effectExtent l="0" t="0" r="0" b="0"/>
                      <wp:wrapNone/>
                      <wp:docPr id="503" name="Frame496"/>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4" name="Frame4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91185" cy="175260"/>
                      <wp:effectExtent l="0" t="0" r="0" b="0"/>
                      <wp:wrapNone/>
                      <wp:docPr id="505" name="Frame49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6"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57860" cy="175260"/>
                      <wp:effectExtent l="0" t="0" r="0" b="0"/>
                      <wp:wrapNone/>
                      <wp:docPr id="507" name="Frame50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 stated at amortized cost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3,722,640</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8,444,793</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debt investments stated at amortized cost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156,104</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261,797</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3,878,744</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8,706,590</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carrying values of time deposits stated at amortized cost and other debt investments stated at amortized cost approximate their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debt investments stated at amortized cost classified by the contractual maturity date of the investments:</w:t>
      </w:r>
    </w:p>
    <w:p>
      <w:pPr>
        <w:pStyle w:val="TextBody"/>
        <w:spacing w:before="0" w:after="0"/>
        <w:ind w:left="0" w:right="0" w:hanging="0"/>
        <w:rPr/>
      </w:pPr>
      <w:r>
        <w:rPr/>
        <w:t>​</w:t>
      </w:r>
    </w:p>
    <w:tbl>
      <w:tblPr>
        <w:tblW w:w="4423" w:type="dxa"/>
        <w:jc w:val="left"/>
        <w:tblInd w:w="0" w:type="dxa"/>
        <w:tblCellMar>
          <w:top w:w="0" w:type="dxa"/>
          <w:left w:w="0" w:type="dxa"/>
          <w:bottom w:w="0" w:type="dxa"/>
          <w:right w:w="0" w:type="dxa"/>
        </w:tblCellMar>
      </w:tblPr>
      <w:tblGrid>
        <w:gridCol w:w="2581"/>
        <w:gridCol w:w="326"/>
        <w:gridCol w:w="1516"/>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38935" cy="175260"/>
                      <wp:effectExtent l="0" t="0" r="0" b="0"/>
                      <wp:wrapNone/>
                      <wp:docPr id="508" name="Frame501"/>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09" name="Frame5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962660" cy="175260"/>
                      <wp:effectExtent l="0" t="0" r="0" b="0"/>
                      <wp:wrapNone/>
                      <wp:docPr id="510" name="Frame503"/>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in 1 year through 2 years</w:t>
            </w:r>
          </w:p>
        </w:tc>
        <w:tc>
          <w:tcPr>
            <w:tcW w:w="326" w:type="dxa"/>
            <w:tcBorders/>
            <w:shd w:fill="CCEEFF" w:val="clear"/>
            <w:vAlign w:val="center"/>
          </w:tcPr>
          <w:p>
            <w:pPr>
              <w:pStyle w:val="TableContents"/>
              <w:spacing w:before="0" w:after="0"/>
              <w:ind w:left="0" w:right="0" w:hanging="0"/>
              <w:rPr/>
            </w:pPr>
            <w:r>
              <w:rPr/>
              <w:t> </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6,627,563</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in 2 years through 3 years</w:t>
            </w:r>
          </w:p>
        </w:tc>
        <w:tc>
          <w:tcPr>
            <w:tcW w:w="326" w:type="dxa"/>
            <w:tcBorders/>
            <w:shd w:fill="auto" w:val="clear"/>
            <w:vAlign w:val="center"/>
          </w:tcPr>
          <w:p>
            <w:pPr>
              <w:pStyle w:val="TableContents"/>
              <w:spacing w:before="0" w:after="0"/>
              <w:ind w:left="0" w:right="0" w:hanging="0"/>
              <w:rPr/>
            </w:pPr>
            <w:r>
              <w:rPr/>
              <w:t> </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1,950,866</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0"/>
              <w:ind w:left="0" w:right="0" w:hanging="0"/>
              <w:rPr/>
            </w:pPr>
            <w:r>
              <w:rPr/>
              <w:t> </w:t>
            </w:r>
          </w:p>
        </w:tc>
        <w:tc>
          <w:tcPr>
            <w:tcW w:w="15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128,161</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51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8,706,590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1930" w:name="Tc_h5UeygGZuUGUOg8UxUESpQ_14_0"/>
      <w:bookmarkStart w:id="1931" w:name="Tc_SckiP2EXO0WTXTVc30fP0A_13_6"/>
      <w:bookmarkStart w:id="1932" w:name="Tc_l1VDoXuf5EeDa2yUb_IGXQ_13_0"/>
      <w:bookmarkStart w:id="1933" w:name="Tc_hNx7WjB2XUSEMBZSIwvUzA_12_6"/>
      <w:bookmarkStart w:id="1934" w:name="Tc_oF6I20TPY0qhhArYaRgU1g_12_0"/>
      <w:bookmarkStart w:id="1935" w:name="Tc_tzHIr1URVk2K3bA3FH5Jhw_11_6"/>
      <w:bookmarkStart w:id="1936" w:name="Tc_3gWaNXDGkUy8TNDW9HuP2w_11_0"/>
      <w:bookmarkStart w:id="1937" w:name="Tc_db1c240LEky9t6JG_Sr76Q_10_4"/>
      <w:bookmarkStart w:id="1938" w:name="Tc_lYqsGuu3ZU6XqXk93dlQsQ_10_0"/>
      <w:bookmarkStart w:id="1939" w:name="Tc_cUTV4YxyEkyaTsvAPsgw5g_9_4"/>
      <w:bookmarkStart w:id="1940" w:name="Tc_Vlri7K7C5Eqm8roHdhClCA_9_0"/>
      <w:bookmarkStart w:id="1941" w:name="Tc_7bwOZKs_Q0mF8LxWoISPAA_8_4"/>
      <w:bookmarkStart w:id="1942" w:name="Tc_OldLjYT6z0O3yOqu6um09w_8_0"/>
      <w:bookmarkStart w:id="1943" w:name="Tc_FnA-yHNXyk2bzdo7O3eyFg_7_4"/>
      <w:bookmarkStart w:id="1944" w:name="Tc_wVH7-XQfRE2zOsLaMnHtdw_7_0"/>
      <w:bookmarkStart w:id="1945" w:name="Tc_K0XmebDcjkiz9JTu3dJGrw_6_10"/>
      <w:bookmarkStart w:id="1946" w:name="Tc_UxIeJYxdLUO2hcsh34T92g_6_8"/>
      <w:bookmarkStart w:id="1947" w:name="Tc_AMnFYZMTwUOg48MCXoAQBA_6_6"/>
      <w:bookmarkStart w:id="1948" w:name="Tc_Dwtzo0LiJ0qkaAWnHfprYQ_6_4"/>
      <w:bookmarkStart w:id="1949" w:name="Tc_QHnYQlpsrEWT9lscLAeZrQ_6_2"/>
      <w:bookmarkStart w:id="1950" w:name="Tc_RGAF7lYKeUyhHsvhJ3sj8A_5_10"/>
      <w:bookmarkStart w:id="1951" w:name="Tc_IpE_E3ZXV02-QjtA8hrORw_5_8"/>
      <w:bookmarkStart w:id="1952" w:name="Tc_0Cu45qt_7UG9VkowszTbLQ_5_6"/>
      <w:bookmarkStart w:id="1953" w:name="Tc_vvgXkjJDx0mIjFoNKgwMXA_5_4"/>
      <w:bookmarkStart w:id="1954" w:name="Tc_IXlpgn-iiUiz5I1ymOpgKQ_5_2"/>
      <w:bookmarkStart w:id="1955" w:name="Tc_GAsq3AysK0KIP-7jSKmonQ_4_10"/>
      <w:bookmarkStart w:id="1956" w:name="Tc_GnIZfQ6ctkGexVMk-HeJrA_4_8"/>
      <w:bookmarkStart w:id="1957" w:name="Tc_4Qp5ZFlMokm_u1TvfY7q7A_4_6"/>
      <w:bookmarkStart w:id="1958" w:name="Tc_eu6f-Tc_mke7q3USrUIZnA_4_4"/>
      <w:bookmarkStart w:id="1959" w:name="Tc_9NkJGQSov0ybGuNJrqQSKA_3_8"/>
      <w:bookmarkStart w:id="1960" w:name="Tc_QmieONSgm0aRhqUVnRnkzg_3_6"/>
      <w:bookmarkStart w:id="1961" w:name="Tc_la11BVQoBkaiKW6bT2_1nw_3_4"/>
      <w:bookmarkStart w:id="1962" w:name="Tc_ygwdG5yxE02aCb8wBr7EyA_2_8"/>
      <w:bookmarkStart w:id="1963" w:name="Tc_F7-kPaD0vkWirZgy6puQ3Q_2_6"/>
      <w:bookmarkStart w:id="1964" w:name="Tc_-SzwD5kKr0K2erWLRPrZdg_2_4"/>
      <w:bookmarkStart w:id="1965" w:name="Tc_2keUhOxPDUmnSGv2Ij89tw_1_2"/>
      <w:bookmarkStart w:id="1966" w:name="_3331b138_804c_48ea_8ade_5ed37086ef57"/>
      <w:bookmarkStart w:id="1967" w:name="Tc_uFdFuwZHrUGSCBjQXa_VXQ_14_0"/>
      <w:bookmarkStart w:id="1968" w:name="Tc_qCrEPznEl028aa6zyMs8bg_13_0"/>
      <w:bookmarkStart w:id="1969" w:name="Tc_34HlR8NelEmY20nTqui0ww_12_4"/>
      <w:bookmarkStart w:id="1970" w:name="Tc_ED6lCXqqA0-vdC1Cv_VpWA_12_0"/>
      <w:bookmarkStart w:id="1971" w:name="Tc_WIWiIYmt8EaewiooTwFe5w_11_0"/>
      <w:bookmarkStart w:id="1972" w:name="Tc_MjMhQyi_GkKb76Zv8wYcmw_10_0"/>
      <w:bookmarkStart w:id="1973" w:name="Tc_Jv7JCF6eLUW3Dv52q1tPww_9_6"/>
      <w:bookmarkStart w:id="1974" w:name="Tc_OZDQ87P1uUeX_ZUitVHhXg_9_0"/>
      <w:bookmarkStart w:id="1975" w:name="Tc_QLr3lo2pw06nfy1scyNVlA_8_8"/>
      <w:bookmarkStart w:id="1976" w:name="Tc_t0DuEIPrvUq5ixSu0uot7w_8_4"/>
      <w:bookmarkStart w:id="1977" w:name="Tc_JXqNnZr9cUaJS3SCo_OhkQ_8_0"/>
      <w:bookmarkStart w:id="1978" w:name="Tc_HtnA-cz74Ey_u9iQRAO3gQ_7_0"/>
      <w:bookmarkStart w:id="1979" w:name="Tc_2rWH0exUPUmDpnj0_NclQQ_6_10"/>
      <w:bookmarkStart w:id="1980" w:name="Tc_ioPzIHeRCEudxouYbYVHfg_6_8"/>
      <w:bookmarkStart w:id="1981" w:name="Tc_-6AHJhl4ck2RFuRDYL7-dQ_6_6"/>
      <w:bookmarkStart w:id="1982" w:name="Tc_gD6JCIcynUKRMs4w-9kyhw_6_4"/>
      <w:bookmarkStart w:id="1983" w:name="Tc_97NPJa45bUmMfvbkVCz9Lw_6_2"/>
      <w:bookmarkStart w:id="1984" w:name="Tc_R5R0NvohH02sv-YZkMkbsQ_5_10"/>
      <w:bookmarkStart w:id="1985" w:name="Tc_lb643n6btk-OALyAslbesw_5_8"/>
      <w:bookmarkStart w:id="1986" w:name="Tc_1uP4KPKGEUm2J20bCgSw_g_5_6"/>
      <w:bookmarkStart w:id="1987" w:name="Tc_5-uRZ7k2dEioAq55SHUyNw_5_4"/>
      <w:bookmarkStart w:id="1988" w:name="Tc_1grJm_68WkKo3zXkTyyXNw_5_2"/>
      <w:bookmarkStart w:id="1989" w:name="Tc_6uRmhxs01UOtcC2kICVLFw_4_10"/>
      <w:bookmarkStart w:id="1990" w:name="Tc_yE_Wuy0nyE-AoxyytJX1Aw_4_8"/>
      <w:bookmarkStart w:id="1991" w:name="Tc_6Y1RF0c7VkK9zYD_f_st7Q_4_6"/>
      <w:bookmarkStart w:id="1992" w:name="Tc_Kp5azpNC8EScdV-VC5MAtg_4_4"/>
      <w:bookmarkStart w:id="1993" w:name="Tc_9Uu80V2p1ka_Im2trw55bw_3_8"/>
      <w:bookmarkStart w:id="1994" w:name="Tc_Y6r_7WQ8zUmNgxL3y9nrSw_3_6"/>
      <w:bookmarkStart w:id="1995" w:name="Tc_q5xwBE5vpUmW79TjE2XNyw_3_4"/>
      <w:bookmarkStart w:id="1996" w:name="Tc_q8nyPLOHMkuolnDdeJTxMA_2_8"/>
      <w:bookmarkStart w:id="1997" w:name="Tc_v9S6T08vtEiEMUkwr43T9w_2_6"/>
      <w:bookmarkStart w:id="1998" w:name="Tc_3X1EwpkagEeDFsX27TOptA_2_4"/>
      <w:bookmarkStart w:id="1999" w:name="Tc_FwysVPDxTUmqoujbqkJk3w_1_2"/>
      <w:bookmarkStart w:id="2000" w:name="_cb6633ee_9c92_4396_9adc_861bcaf09207"/>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r>
        <w:rPr>
          <w:rFonts w:ascii="Times New Roman;Times;serif" w:hAnsi="Times New Roman;Times;serif"/>
          <w:b/>
          <w:sz w:val="20"/>
        </w:rPr>
        <w:t>9. Investment securities and other investments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listed equity securities and other investments under fair value option: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330"/>
        <w:gridCol w:w="326"/>
        <w:gridCol w:w="1036"/>
        <w:gridCol w:w="326"/>
        <w:gridCol w:w="946"/>
        <w:gridCol w:w="326"/>
        <w:gridCol w:w="1145"/>
        <w:gridCol w:w="326"/>
        <w:gridCol w:w="976"/>
        <w:gridCol w:w="326"/>
        <w:gridCol w:w="1142"/>
      </w:tblGrid>
      <w:tr>
        <w:trPr/>
        <w:tc>
          <w:tcPr>
            <w:tcW w:w="3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14550" cy="175260"/>
                      <wp:effectExtent l="0" t="0" r="0" b="0"/>
                      <wp:wrapNone/>
                      <wp:docPr id="511" name="Frame504"/>
                      <a:graphic xmlns:a="http://schemas.openxmlformats.org/drawingml/2006/main">
                        <a:graphicData uri="http://schemas.microsoft.com/office/word/2010/wordprocessingShape">
                          <wps:wsp>
                            <wps:cNvSpPr txBox="1"/>
                            <wps:spPr>
                              <a:xfrm>
                                <a:off x="0" y="0"/>
                                <a:ext cx="2114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2" name="Frame5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57860" cy="175260"/>
                      <wp:effectExtent l="0" t="0" r="0" b="0"/>
                      <wp:wrapNone/>
                      <wp:docPr id="513" name="Frame50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4" name="Frame5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00710" cy="175260"/>
                      <wp:effectExtent l="0" t="0" r="0" b="0"/>
                      <wp:wrapNone/>
                      <wp:docPr id="515" name="Frame50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6" name="Frame5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27075" cy="175260"/>
                      <wp:effectExtent l="0" t="0" r="0" b="0"/>
                      <wp:wrapNone/>
                      <wp:docPr id="517" name="Frame510"/>
                      <a:graphic xmlns:a="http://schemas.openxmlformats.org/drawingml/2006/main">
                        <a:graphicData uri="http://schemas.microsoft.com/office/word/2010/wordprocessingShape">
                          <wps:wsp>
                            <wps:cNvSpPr txBox="1"/>
                            <wps:spPr>
                              <a:xfrm>
                                <a:off x="0" y="0"/>
                                <a:ext cx="727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18"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19760" cy="175260"/>
                      <wp:effectExtent l="0" t="0" r="0" b="0"/>
                      <wp:wrapNone/>
                      <wp:docPr id="519" name="Frame512"/>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0" name="Frame5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725170" cy="175260"/>
                      <wp:effectExtent l="0" t="0" r="0" b="0"/>
                      <wp:wrapNone/>
                      <wp:docPr id="521" name="Frame514"/>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549"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shd w:fill="auto" w:val="clear"/>
            <w:vAlign w:val="center"/>
          </w:tcPr>
          <w:p>
            <w:pPr>
              <w:pStyle w:val="TableContents"/>
              <w:spacing w:before="0" w:after="1"/>
              <w:ind w:left="0" w:right="0" w:hanging="0"/>
              <w:jc w:val="center"/>
              <w:rPr/>
            </w:pPr>
            <w:r>
              <w:rPr/>
              <w:t>​</w:t>
            </w:r>
          </w:p>
        </w:tc>
        <w:tc>
          <w:tcPr>
            <w:tcW w:w="114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Foreign</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w:t>
            </w:r>
          </w:p>
        </w:tc>
        <w:tc>
          <w:tcPr>
            <w:tcW w:w="114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currency</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114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translation</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jc w:val="center"/>
              <w:rPr/>
            </w:pPr>
            <w:r>
              <w:rPr/>
              <w:t>​</w:t>
            </w:r>
          </w:p>
        </w:tc>
        <w:tc>
          <w:tcPr>
            <w:tcW w:w="114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3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30"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Listed equity securities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7,661,212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6,300,946</w:t>
            </w:r>
          </w:p>
        </w:tc>
        <w:tc>
          <w:tcPr>
            <w:tcW w:w="326"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(394,796)</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(224,416)</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13,342,946</w:t>
            </w:r>
          </w:p>
        </w:tc>
      </w:tr>
      <w:tr>
        <w:trPr/>
        <w:tc>
          <w:tcPr>
            <w:tcW w:w="3330" w:type="dxa"/>
            <w:tcBorders/>
            <w:shd w:fill="auto" w:val="clear"/>
            <w:vAlign w:val="center"/>
          </w:tcPr>
          <w:p>
            <w:pPr>
              <w:pStyle w:val="TableContents"/>
              <w:spacing w:before="0" w:after="1"/>
              <w:ind w:left="0" w:right="0" w:hanging="0"/>
              <w:rPr/>
            </w:pPr>
            <w:r>
              <w:rPr/>
              <w:t xml:space="preserve">— </w:t>
            </w:r>
            <w:r>
              <w:rPr>
                <w:rFonts w:ascii="Times New Roman;Times;serif" w:hAnsi="Times New Roman;Times;serif"/>
                <w:sz w:val="20"/>
              </w:rPr>
              <w:t>Investee A</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(254,758)</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345,242</w:t>
            </w:r>
          </w:p>
        </w:tc>
      </w:tr>
      <w:tr>
        <w:trPr/>
        <w:tc>
          <w:tcPr>
            <w:tcW w:w="3330" w:type="dxa"/>
            <w:tcBorders/>
            <w:shd w:fill="CCEEFF" w:val="clear"/>
            <w:vAlign w:val="center"/>
          </w:tcPr>
          <w:p>
            <w:pPr>
              <w:pStyle w:val="TableContents"/>
              <w:spacing w:before="0" w:after="1"/>
              <w:ind w:left="0" w:right="0" w:hanging="0"/>
              <w:rPr/>
            </w:pPr>
            <w:r>
              <w:rPr/>
              <w:t xml:space="preserve">— </w:t>
            </w:r>
            <w:r>
              <w:rPr>
                <w:rFonts w:ascii="Times New Roman;Times;serif" w:hAnsi="Times New Roman;Times;serif"/>
                <w:sz w:val="20"/>
              </w:rPr>
              <w:t>Investee B (i)</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6,751,890</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5,573,162</w:t>
            </w:r>
          </w:p>
        </w:tc>
        <w:tc>
          <w:tcPr>
            <w:tcW w:w="326"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(225,456)</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12,099,596</w:t>
            </w:r>
          </w:p>
        </w:tc>
      </w:tr>
      <w:tr>
        <w:trPr/>
        <w:tc>
          <w:tcPr>
            <w:tcW w:w="3330" w:type="dxa"/>
            <w:tcBorders/>
            <w:shd w:fill="auto" w:val="clear"/>
            <w:vAlign w:val="center"/>
          </w:tcPr>
          <w:p>
            <w:pPr>
              <w:pStyle w:val="TableContents"/>
              <w:spacing w:before="0" w:after="1"/>
              <w:ind w:left="0" w:right="0" w:hanging="0"/>
              <w:rPr/>
            </w:pPr>
            <w:r>
              <w:rPr/>
              <w:t xml:space="preserve">— </w:t>
            </w: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309,322</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727,784</w:t>
            </w:r>
          </w:p>
        </w:tc>
        <w:tc>
          <w:tcPr>
            <w:tcW w:w="326" w:type="dxa"/>
            <w:tcBorders/>
            <w:shd w:fill="auto" w:val="clear"/>
            <w:vAlign w:val="center"/>
          </w:tcPr>
          <w:p>
            <w:pPr>
              <w:pStyle w:val="TableContents"/>
              <w:spacing w:before="0" w:after="1"/>
              <w:ind w:left="0" w:right="0" w:hanging="0"/>
              <w:rPr/>
            </w:pPr>
            <w:r>
              <w:rPr/>
              <w:t> </w:t>
            </w:r>
          </w:p>
        </w:tc>
        <w:tc>
          <w:tcPr>
            <w:tcW w:w="11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(140,038)</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898,108</w:t>
            </w:r>
          </w:p>
        </w:tc>
      </w:tr>
      <w:tr>
        <w:trPr/>
        <w:tc>
          <w:tcPr>
            <w:tcW w:w="3330"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investments under fair value option</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20,323,739</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14,383</w:t>
            </w:r>
          </w:p>
        </w:tc>
        <w:tc>
          <w:tcPr>
            <w:tcW w:w="326"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(18,722,033)</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(203,286)</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1,412,803</w:t>
            </w:r>
          </w:p>
        </w:tc>
      </w:tr>
      <w:tr>
        <w:trPr/>
        <w:tc>
          <w:tcPr>
            <w:tcW w:w="3330" w:type="dxa"/>
            <w:tcBorders/>
            <w:shd w:fill="auto" w:val="clear"/>
            <w:vAlign w:val="center"/>
          </w:tcPr>
          <w:p>
            <w:pPr>
              <w:pStyle w:val="TableContents"/>
              <w:spacing w:before="0" w:after="1"/>
              <w:ind w:left="0" w:right="0" w:hanging="0"/>
              <w:rPr/>
            </w:pPr>
            <w:r>
              <w:rPr/>
              <w:t xml:space="preserve">— </w:t>
            </w:r>
            <w:r>
              <w:rPr>
                <w:rFonts w:ascii="Times New Roman;Times;serif" w:hAnsi="Times New Roman;Times;serif"/>
                <w:sz w:val="20"/>
              </w:rPr>
              <w:t>Convertible Note of Chengxin (Note 4)</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19,563,591</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(18,691,719)</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(198,515)</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673,357</w:t>
            </w:r>
          </w:p>
        </w:tc>
      </w:tr>
      <w:tr>
        <w:trPr/>
        <w:tc>
          <w:tcPr>
            <w:tcW w:w="3330" w:type="dxa"/>
            <w:tcBorders/>
            <w:shd w:fill="CCEEFF" w:val="clear"/>
            <w:vAlign w:val="center"/>
          </w:tcPr>
          <w:p>
            <w:pPr>
              <w:pStyle w:val="TableContents"/>
              <w:spacing w:before="0" w:after="1"/>
              <w:ind w:left="0" w:right="0" w:hanging="0"/>
              <w:rPr/>
            </w:pPr>
            <w:r>
              <w:rPr/>
              <w:t xml:space="preserve">— </w:t>
            </w: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760,148</w:t>
            </w:r>
          </w:p>
        </w:tc>
        <w:tc>
          <w:tcPr>
            <w:tcW w:w="326" w:type="dxa"/>
            <w:tcBorders/>
            <w:shd w:fill="CCEEFF" w:val="clear"/>
            <w:vAlign w:val="center"/>
          </w:tcPr>
          <w:p>
            <w:pPr>
              <w:pStyle w:val="TableContents"/>
              <w:spacing w:before="0" w:after="1"/>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14,383</w:t>
            </w:r>
          </w:p>
        </w:tc>
        <w:tc>
          <w:tcPr>
            <w:tcW w:w="326" w:type="dxa"/>
            <w:tcBorders/>
            <w:shd w:fill="CCEEFF" w:val="clear"/>
            <w:vAlign w:val="center"/>
          </w:tcPr>
          <w:p>
            <w:pPr>
              <w:pStyle w:val="TableContents"/>
              <w:spacing w:before="0" w:after="1"/>
              <w:ind w:left="0" w:right="0" w:hanging="0"/>
              <w:rPr/>
            </w:pPr>
            <w:r>
              <w:rPr/>
              <w:t>​</w:t>
            </w:r>
          </w:p>
        </w:tc>
        <w:tc>
          <w:tcPr>
            <w:tcW w:w="114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(30,314)</w:t>
            </w:r>
          </w:p>
        </w:tc>
        <w:tc>
          <w:tcPr>
            <w:tcW w:w="326" w:type="dxa"/>
            <w:tcBorders/>
            <w:shd w:fill="CCEEFF" w:val="clear"/>
            <w:vAlign w:val="center"/>
          </w:tcPr>
          <w:p>
            <w:pPr>
              <w:pStyle w:val="TableContents"/>
              <w:spacing w:before="0" w:after="1"/>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CCEEFF" w:val="clear"/>
            <w:vAlign w:val="center"/>
          </w:tcPr>
          <w:p>
            <w:pPr>
              <w:pStyle w:val="TableContents"/>
              <w:spacing w:before="0" w:after="1"/>
              <w:ind w:left="0" w:right="0" w:hanging="0"/>
              <w:rPr/>
            </w:pPr>
            <w:r>
              <w:rPr/>
              <w:t>​</w:t>
            </w:r>
          </w:p>
        </w:tc>
        <w:tc>
          <w:tcPr>
            <w:tcW w:w="11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739,446</w:t>
            </w:r>
          </w:p>
        </w:tc>
      </w:tr>
      <w:tr>
        <w:trPr/>
        <w:tc>
          <w:tcPr>
            <w:tcW w:w="3330"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27,984,951</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6,315,329</w:t>
            </w:r>
          </w:p>
        </w:tc>
        <w:tc>
          <w:tcPr>
            <w:tcW w:w="326" w:type="dxa"/>
            <w:tcBorders/>
            <w:shd w:fill="auto" w:val="clear"/>
            <w:vAlign w:val="center"/>
          </w:tcPr>
          <w:p>
            <w:pPr>
              <w:pStyle w:val="TableContents"/>
              <w:spacing w:before="0" w:after="1"/>
              <w:ind w:left="0" w:right="0" w:hanging="0"/>
              <w:rPr/>
            </w:pPr>
            <w:r>
              <w:rPr/>
              <w:t> </w:t>
            </w:r>
          </w:p>
        </w:tc>
        <w:tc>
          <w:tcPr>
            <w:tcW w:w="114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(19,116,829)</w:t>
            </w:r>
          </w:p>
        </w:tc>
        <w:tc>
          <w:tcPr>
            <w:tcW w:w="326" w:type="dxa"/>
            <w:tcBorders/>
            <w:shd w:fill="auto" w:val="clear"/>
            <w:vAlign w:val="center"/>
          </w:tcPr>
          <w:p>
            <w:pPr>
              <w:pStyle w:val="TableContents"/>
              <w:spacing w:before="0" w:after="1"/>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(427,702)</w:t>
            </w:r>
          </w:p>
        </w:tc>
        <w:tc>
          <w:tcPr>
            <w:tcW w:w="326" w:type="dxa"/>
            <w:tcBorders/>
            <w:shd w:fill="auto" w:val="clear"/>
            <w:vAlign w:val="center"/>
          </w:tcPr>
          <w:p>
            <w:pPr>
              <w:pStyle w:val="TableContents"/>
              <w:spacing w:before="0" w:after="1"/>
              <w:ind w:left="0" w:right="0" w:hanging="0"/>
              <w:rPr/>
            </w:pPr>
            <w:r>
              <w:rPr/>
              <w:t> </w:t>
            </w:r>
          </w:p>
        </w:tc>
        <w:tc>
          <w:tcPr>
            <w:tcW w:w="1142"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14,755,749</w:t>
            </w:r>
          </w:p>
        </w:tc>
      </w:tr>
    </w:tbl>
    <w:p>
      <w:pPr>
        <w:pStyle w:val="TextBody"/>
        <w:spacing w:before="0" w:after="240"/>
        <w:ind w:left="0" w:right="0" w:hanging="0"/>
        <w:rPr/>
      </w:pPr>
      <w:r>
        <w:rPr/>
        <w:t>​</w:t>
      </w:r>
    </w:p>
    <w:tbl>
      <w:tblPr>
        <w:tblW w:w="9751" w:type="dxa"/>
        <w:jc w:val="left"/>
        <w:tblInd w:w="0" w:type="dxa"/>
        <w:tblCellMar>
          <w:top w:w="0" w:type="dxa"/>
          <w:left w:w="0" w:type="dxa"/>
          <w:bottom w:w="0" w:type="dxa"/>
          <w:right w:w="0" w:type="dxa"/>
        </w:tblCellMar>
      </w:tblPr>
      <w:tblGrid>
        <w:gridCol w:w="3796"/>
        <w:gridCol w:w="326"/>
        <w:gridCol w:w="1036"/>
        <w:gridCol w:w="146"/>
        <w:gridCol w:w="946"/>
        <w:gridCol w:w="146"/>
        <w:gridCol w:w="1051"/>
        <w:gridCol w:w="146"/>
        <w:gridCol w:w="976"/>
        <w:gridCol w:w="146"/>
        <w:gridCol w:w="1036"/>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410460" cy="175260"/>
                      <wp:effectExtent l="0" t="0" r="0" b="0"/>
                      <wp:wrapNone/>
                      <wp:docPr id="522" name="Frame515"/>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3" name="Frame5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57860" cy="175260"/>
                      <wp:effectExtent l="0" t="0" r="0" b="0"/>
                      <wp:wrapNone/>
                      <wp:docPr id="524" name="Frame51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92710" cy="175260"/>
                      <wp:effectExtent l="0" t="0" r="0" b="0"/>
                      <wp:wrapNone/>
                      <wp:docPr id="525" name="Frame51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00710" cy="175260"/>
                      <wp:effectExtent l="0" t="0" r="0" b="0"/>
                      <wp:wrapNone/>
                      <wp:docPr id="526" name="Frame51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92710" cy="175260"/>
                      <wp:effectExtent l="0" t="0" r="0" b="0"/>
                      <wp:wrapNone/>
                      <wp:docPr id="527" name="Frame52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67385" cy="175260"/>
                      <wp:effectExtent l="0" t="0" r="0" b="0"/>
                      <wp:wrapNone/>
                      <wp:docPr id="528" name="Frame521"/>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92710" cy="175260"/>
                      <wp:effectExtent l="0" t="0" r="0" b="0"/>
                      <wp:wrapNone/>
                      <wp:docPr id="529" name="Frame52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19760" cy="175260"/>
                      <wp:effectExtent l="0" t="0" r="0" b="0"/>
                      <wp:wrapNone/>
                      <wp:docPr id="530" name="Frame52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92710" cy="175260"/>
                      <wp:effectExtent l="0" t="0" r="0" b="0"/>
                      <wp:wrapNone/>
                      <wp:docPr id="531" name="Frame52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57860" cy="175260"/>
                      <wp:effectExtent l="0" t="0" r="0" b="0"/>
                      <wp:wrapNone/>
                      <wp:docPr id="532" name="Frame52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629"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14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14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Foreign</w:t>
            </w:r>
            <w:r>
              <w:rPr>
                <w:rFonts w:ascii="Times New Roman;Times;serif" w:hAnsi="Times New Roman;Times;serif"/>
                <w:sz w:val="16"/>
              </w:rPr>
              <w:t> </w:t>
            </w:r>
          </w:p>
        </w:tc>
        <w:tc>
          <w:tcPr>
            <w:tcW w:w="14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currency</w:t>
            </w:r>
            <w:r>
              <w:rPr>
                <w:rFonts w:ascii="Times New Roman;Times;serif" w:hAnsi="Times New Roman;Times;serif"/>
                <w:sz w:val="16"/>
              </w:rPr>
              <w:t> </w:t>
            </w:r>
          </w:p>
        </w:tc>
        <w:tc>
          <w:tcPr>
            <w:tcW w:w="14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4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4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translation</w:t>
            </w:r>
            <w:r>
              <w:rPr>
                <w:rFonts w:ascii="Times New Roman;Times;serif" w:hAnsi="Times New Roman;Times;serif"/>
                <w:sz w:val="16"/>
              </w:rPr>
              <w:t> </w:t>
            </w:r>
          </w:p>
        </w:tc>
        <w:tc>
          <w:tcPr>
            <w:tcW w:w="14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shd w:fill="auto" w:val="clear"/>
            <w:vAlign w:val="center"/>
          </w:tcPr>
          <w:p>
            <w:pPr>
              <w:pStyle w:val="TableContents"/>
              <w:spacing w:before="0" w:after="0"/>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46"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46" w:type="dxa"/>
            <w:tcBorders/>
            <w:shd w:fill="auto" w:val="clear"/>
            <w:vAlign w:val="center"/>
          </w:tcPr>
          <w:p>
            <w:pPr>
              <w:pStyle w:val="TableContents"/>
              <w:spacing w:before="0" w:after="0"/>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4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Listed equity securities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7,561,289</w:t>
            </w:r>
          </w:p>
        </w:tc>
        <w:tc>
          <w:tcPr>
            <w:tcW w:w="14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(1,067,079)</w:t>
            </w:r>
          </w:p>
        </w:tc>
        <w:tc>
          <w:tcPr>
            <w:tcW w:w="14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231,556</w:t>
            </w:r>
          </w:p>
        </w:tc>
        <w:tc>
          <w:tcPr>
            <w:tcW w:w="14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6,725,766</w:t>
            </w:r>
          </w:p>
        </w:tc>
      </w:tr>
      <w:tr>
        <w:trPr/>
        <w:tc>
          <w:tcPr>
            <w:tcW w:w="3796" w:type="dxa"/>
            <w:tcBorders/>
            <w:shd w:fill="auto" w:val="clear"/>
            <w:vAlign w:val="center"/>
          </w:tcPr>
          <w:p>
            <w:pPr>
              <w:pStyle w:val="TableContents"/>
              <w:spacing w:before="0" w:after="0"/>
              <w:ind w:left="0" w:right="0" w:hanging="0"/>
              <w:rPr/>
            </w:pPr>
            <w:r>
              <w:rPr/>
              <w:t xml:space="preserve">— </w:t>
            </w:r>
            <w:r>
              <w:rPr>
                <w:rFonts w:ascii="Times New Roman;Times;serif" w:hAnsi="Times New Roman;Times;serif"/>
                <w:sz w:val="20"/>
              </w:rPr>
              <w:t>Investee A</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14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(206,442)</w:t>
            </w:r>
          </w:p>
        </w:tc>
        <w:tc>
          <w:tcPr>
            <w:tcW w:w="14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393,558</w:t>
            </w:r>
          </w:p>
        </w:tc>
      </w:tr>
      <w:tr>
        <w:trPr/>
        <w:tc>
          <w:tcPr>
            <w:tcW w:w="3796" w:type="dxa"/>
            <w:tcBorders/>
            <w:shd w:fill="CCEEFF" w:val="clear"/>
            <w:vAlign w:val="center"/>
          </w:tcPr>
          <w:p>
            <w:pPr>
              <w:pStyle w:val="TableContents"/>
              <w:spacing w:before="0" w:after="0"/>
              <w:ind w:left="0" w:right="0" w:hanging="0"/>
              <w:rPr/>
            </w:pPr>
            <w:r>
              <w:rPr/>
              <w:t xml:space="preserve">— </w:t>
            </w:r>
            <w:r>
              <w:rPr>
                <w:rFonts w:ascii="Times New Roman;Times;serif" w:hAnsi="Times New Roman;Times;serif"/>
                <w:sz w:val="20"/>
              </w:rPr>
              <w:t>Investee B (i)</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6,518,202</w:t>
            </w:r>
          </w:p>
        </w:tc>
        <w:tc>
          <w:tcPr>
            <w:tcW w:w="14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(648,302)</w:t>
            </w:r>
          </w:p>
        </w:tc>
        <w:tc>
          <w:tcPr>
            <w:tcW w:w="14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198,536</w:t>
            </w:r>
          </w:p>
        </w:tc>
        <w:tc>
          <w:tcPr>
            <w:tcW w:w="14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6,068,436</w:t>
            </w:r>
          </w:p>
        </w:tc>
      </w:tr>
      <w:tr>
        <w:trPr/>
        <w:tc>
          <w:tcPr>
            <w:tcW w:w="3796" w:type="dxa"/>
            <w:tcBorders/>
            <w:shd w:fill="auto" w:val="clear"/>
            <w:vAlign w:val="center"/>
          </w:tcPr>
          <w:p>
            <w:pPr>
              <w:pStyle w:val="TableContents"/>
              <w:spacing w:before="0" w:after="0"/>
              <w:ind w:left="0" w:right="0" w:hanging="0"/>
              <w:rPr/>
            </w:pPr>
            <w:r>
              <w:rPr/>
              <w:t xml:space="preserve">— </w:t>
            </w: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443,087</w:t>
            </w:r>
          </w:p>
        </w:tc>
        <w:tc>
          <w:tcPr>
            <w:tcW w:w="14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(212,335)</w:t>
            </w:r>
          </w:p>
        </w:tc>
        <w:tc>
          <w:tcPr>
            <w:tcW w:w="14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33,020</w:t>
            </w:r>
          </w:p>
        </w:tc>
        <w:tc>
          <w:tcPr>
            <w:tcW w:w="14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263,772</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investments under fair value option</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2,580,786</w:t>
            </w:r>
          </w:p>
        </w:tc>
        <w:tc>
          <w:tcPr>
            <w:tcW w:w="14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31,583</w:t>
            </w:r>
          </w:p>
        </w:tc>
        <w:tc>
          <w:tcPr>
            <w:tcW w:w="14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(34,418)</w:t>
            </w:r>
          </w:p>
        </w:tc>
        <w:tc>
          <w:tcPr>
            <w:tcW w:w="14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2,577,951</w:t>
            </w:r>
          </w:p>
        </w:tc>
      </w:tr>
      <w:tr>
        <w:trPr/>
        <w:tc>
          <w:tcPr>
            <w:tcW w:w="3796" w:type="dxa"/>
            <w:tcBorders/>
            <w:shd w:fill="auto" w:val="clear"/>
            <w:vAlign w:val="center"/>
          </w:tcPr>
          <w:p>
            <w:pPr>
              <w:pStyle w:val="TableContents"/>
              <w:spacing w:before="0" w:after="0"/>
              <w:ind w:left="0" w:right="0" w:hanging="0"/>
              <w:rPr/>
            </w:pPr>
            <w:r>
              <w:rPr/>
              <w:t xml:space="preserve">— </w:t>
            </w:r>
            <w:r>
              <w:rPr>
                <w:rFonts w:ascii="Times New Roman;Times;serif" w:hAnsi="Times New Roman;Times;serif"/>
                <w:sz w:val="20"/>
              </w:rPr>
              <w:t>Structured notes under fair value option</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1,769,255</w:t>
            </w:r>
          </w:p>
        </w:tc>
        <w:tc>
          <w:tcPr>
            <w:tcW w:w="14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13,973</w:t>
            </w:r>
          </w:p>
        </w:tc>
        <w:tc>
          <w:tcPr>
            <w:tcW w:w="14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(28,219)</w:t>
            </w:r>
          </w:p>
        </w:tc>
        <w:tc>
          <w:tcPr>
            <w:tcW w:w="14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1,755,009</w:t>
            </w:r>
          </w:p>
        </w:tc>
      </w:tr>
      <w:tr>
        <w:trPr/>
        <w:tc>
          <w:tcPr>
            <w:tcW w:w="3796" w:type="dxa"/>
            <w:tcBorders/>
            <w:shd w:fill="CCEEFF" w:val="clear"/>
            <w:vAlign w:val="center"/>
          </w:tcPr>
          <w:p>
            <w:pPr>
              <w:pStyle w:val="TableContents"/>
              <w:spacing w:before="0" w:after="0"/>
              <w:ind w:left="0" w:right="0" w:hanging="0"/>
              <w:rPr/>
            </w:pPr>
            <w:r>
              <w:rPr/>
              <w:t xml:space="preserve">— </w:t>
            </w: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811,531</w:t>
            </w:r>
          </w:p>
        </w:tc>
        <w:tc>
          <w:tcPr>
            <w:tcW w:w="14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17,610</w:t>
            </w:r>
          </w:p>
        </w:tc>
        <w:tc>
          <w:tcPr>
            <w:tcW w:w="14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(6,199)</w:t>
            </w:r>
          </w:p>
        </w:tc>
        <w:tc>
          <w:tcPr>
            <w:tcW w:w="14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822,942</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10,142,075</w:t>
            </w:r>
          </w:p>
        </w:tc>
        <w:tc>
          <w:tcPr>
            <w:tcW w:w="14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31,583</w:t>
            </w:r>
          </w:p>
        </w:tc>
        <w:tc>
          <w:tcPr>
            <w:tcW w:w="146" w:type="dxa"/>
            <w:tcBorders/>
            <w:shd w:fill="auto" w:val="clear"/>
            <w:vAlign w:val="center"/>
          </w:tcPr>
          <w:p>
            <w:pPr>
              <w:pStyle w:val="TableContents"/>
              <w:spacing w:before="0" w:after="0"/>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(1,067,079)</w:t>
            </w:r>
          </w:p>
        </w:tc>
        <w:tc>
          <w:tcPr>
            <w:tcW w:w="146" w:type="dxa"/>
            <w:tcBorders/>
            <w:shd w:fill="auto" w:val="cle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197,138</w:t>
            </w:r>
          </w:p>
        </w:tc>
        <w:tc>
          <w:tcPr>
            <w:tcW w:w="14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9,303,717</w:t>
            </w:r>
          </w:p>
        </w:tc>
      </w:tr>
    </w:tbl>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(i) Investment in Investee B</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As of January 1, 2020 the Group held certain percentage of ordinary shares and preferred shares from Investee B, which were purchased in prior years. The investment in Investee B was accounted for Measurement Alternative as the Group could not impose significant influence in Investment B. For the year ended December 31, 2021, the Investee B completed its initial public offering in NASDAQ Stock Exchange. As a result, the investment in Investee B was transferred from investments accounted for using the Measurement Alternative method to Investment securities and other investments, with the fair value determined based on the quoted price in the active market, adjusted by a discount for lack of marketability due to restrictions on trading the shares. During the year of 2022, the restriction on trading shares was removed and the fair value was determined based on the market price of the Investee B’s publicly traded shares directly.</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As of December 31, 2021 and 2022, the fair value of the Investment in Investee B was RMB12,099,596 and RMB6,068,436, respectively. The Group recognized unrealized gain of RMB8,351,108 recorded in investment income (loss), net for year ended December 31, 2021. The Group recognized unrealized loss of RMB6,221,463 and realized gain of RMB5,998, recorded in investment income (loss), net for year ended December 31, 2022.</w:t>
      </w:r>
    </w:p>
    <w:p>
      <w:pPr>
        <w:pStyle w:val="TextBody"/>
        <w:spacing w:before="0" w:after="0"/>
        <w:ind w:left="0" w:right="0" w:hanging="0"/>
        <w:rPr>
          <w:highlight w:val="white"/>
        </w:rPr>
      </w:pPr>
      <w:r>
        <w:rPr>
          <w:highlight w:val="white"/>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2001" w:name="Tc_uNBx8LePTEmG3ptFLFoTNw_8_0"/>
      <w:bookmarkStart w:id="2002" w:name="Tc_IZYulkV7i0S5bTgFM1D-Fw_7_4"/>
      <w:bookmarkStart w:id="2003" w:name="Tc_bXj-i2iqckiyL3YA5w4alg_7_0"/>
      <w:bookmarkStart w:id="2004" w:name="Tc_rHfDgERRP0Srj6VskCYbPQ_6_0"/>
      <w:bookmarkStart w:id="2005" w:name="Tc_Be3V8GE1LkaPwDz9TAg3pQ_5_0"/>
      <w:bookmarkStart w:id="2006" w:name="Tc_G2AmRyhxGUCKu58tlpuBtQ_3_4"/>
      <w:bookmarkStart w:id="2007" w:name="Tc_D9zOA5avXESt1w9OtnZhMA_3_2"/>
      <w:bookmarkStart w:id="2008" w:name="Tc_5j9bNIJMWEuliBOY12Wy1g_2_4"/>
      <w:bookmarkStart w:id="2009" w:name="Tc_eKJ8QPSLRUuK2nbdsAv5EQ_2_2"/>
      <w:bookmarkStart w:id="2010" w:name="Tc_dxX_5Wr0b02xbyGidNaeLw_1_2"/>
      <w:bookmarkEnd w:id="2001"/>
      <w:bookmarkEnd w:id="2002"/>
      <w:bookmarkEnd w:id="2003"/>
      <w:bookmarkEnd w:id="2004"/>
      <w:bookmarkEnd w:id="2005"/>
      <w:bookmarkEnd w:id="2006"/>
      <w:bookmarkEnd w:id="2007"/>
      <w:bookmarkEnd w:id="2008"/>
      <w:bookmarkEnd w:id="2009"/>
      <w:bookmarkEnd w:id="2010"/>
      <w:r>
        <w:rPr>
          <w:rFonts w:ascii="Times New Roman;Times;serif" w:hAnsi="Times New Roman;Times;serif"/>
          <w:b/>
          <w:sz w:val="20"/>
        </w:rPr>
        <w:t>10. Long-term investments, net</w:t>
      </w:r>
    </w:p>
    <w:p>
      <w:pPr>
        <w:pStyle w:val="TextBody"/>
        <w:spacing w:before="0" w:after="0"/>
        <w:ind w:left="0" w:right="0" w:hanging="0"/>
        <w:rPr/>
      </w:pPr>
      <w:r>
        <w:rPr/>
        <w:t>​</w:t>
      </w:r>
    </w:p>
    <w:tbl>
      <w:tblPr>
        <w:tblW w:w="7915" w:type="dxa"/>
        <w:jc w:val="left"/>
        <w:tblInd w:w="0" w:type="dxa"/>
        <w:tblCellMar>
          <w:top w:w="0" w:type="dxa"/>
          <w:left w:w="0" w:type="dxa"/>
          <w:bottom w:w="0" w:type="dxa"/>
          <w:right w:w="0" w:type="dxa"/>
        </w:tblCellMar>
      </w:tblPr>
      <w:tblGrid>
        <w:gridCol w:w="5296"/>
        <w:gridCol w:w="326"/>
        <w:gridCol w:w="931"/>
        <w:gridCol w:w="326"/>
        <w:gridCol w:w="1036"/>
      </w:tblGrid>
      <w:tr>
        <w:trPr/>
        <w:tc>
          <w:tcPr>
            <w:tcW w:w="5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362960" cy="175260"/>
                      <wp:effectExtent l="0" t="0" r="0" b="0"/>
                      <wp:wrapNone/>
                      <wp:docPr id="533" name="Frame526"/>
                      <a:graphic xmlns:a="http://schemas.openxmlformats.org/drawingml/2006/main">
                        <a:graphicData uri="http://schemas.microsoft.com/office/word/2010/wordprocessingShape">
                          <wps:wsp>
                            <wps:cNvSpPr txBox="1"/>
                            <wps:spPr>
                              <a:xfrm>
                                <a:off x="0" y="0"/>
                                <a:ext cx="3362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4"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35" name="Frame52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6" name="Frame5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57860" cy="175260"/>
                      <wp:effectExtent l="0" t="0" r="0" b="0"/>
                      <wp:wrapNone/>
                      <wp:docPr id="537" name="Frame53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52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Measurement Alternative method</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568,555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580,152</w:t>
            </w:r>
          </w:p>
        </w:tc>
      </w:tr>
      <w:tr>
        <w:trPr/>
        <w:tc>
          <w:tcPr>
            <w:tcW w:w="52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investments accounted for using equity method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4,033,402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4,153,932</w:t>
            </w:r>
          </w:p>
        </w:tc>
      </w:tr>
      <w:tr>
        <w:trPr/>
        <w:tc>
          <w:tcPr>
            <w:tcW w:w="52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 in Chengxin under fair value option (Note 4)</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2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4,614,724</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4,734,084</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Measurement Alternative Method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invested in multiple private companies which may have operational synergy with the Group’s core business. The Group’s equity investments without readily determinable fair value were accounted for using the Measurement Alternative method.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Impairment charges in connection with the Measurement Alternative investments of RMB1,022,098, nil and RMB18,540 were recorded in the consolidated statements of comprehensive loss for the years ended December 31, 2020, 2021 and 2022, respectively, resulting from impairment assessments, considering various factors and events including adverse performance of investees, adverse industry conditions affecting investees, etc. The Group recognized a disposal gain of RMB40,613, RMB2,493,381 and nil for the years ended December 31, 2020, 2021 and 2022,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 Equity method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recorded proportionate share of losses of RMB977,552, RMB211,559 and income of RMB95,505 from equity investments accounted for using equity method for the years ended December 31, 2020, 2021 and 2022, respectively. The Group also recognized impairment losses of RMB79,875, RMB264,292 and RMB59,651 for the years ended December 31, 2020, 2021 and 2022, respectively. The Group records both proportionate share of losses or income and impairment losses of its equity method investments as income (loss) from equity method investments, net in the consolidated statements of comprehensive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year ended December 31, 2021, the Group and SoftBank each made an additional investment amounted to RMB161,720 (JPY2,600,000) in Didi Mobility Japan Corporation (“Didi Japan”), an equity method investee of the Group established in 2018. Upon the closing of this transaction, the Group’s accumulated investment in Didi Japan increased to RMB433,950 (JPY6,950,000).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year ended December 31, 2022, the equity investments made under equity method were insignificant.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011" w:name="Tc_S5FO3H6odUyEHkmn5NKwhQ_14_6"/>
      <w:bookmarkStart w:id="2012" w:name="Tc_h1jwg9U7YUW570Kr5XPgZw_14_0"/>
      <w:bookmarkStart w:id="2013" w:name="Tc_kPL9xXcaL0KTOGHUp4V5Mg_13_0"/>
      <w:bookmarkStart w:id="2014" w:name="Tc_op_v9NqxB0Wxn90B9wGGRg_12_0"/>
      <w:bookmarkStart w:id="2015" w:name="Tc_AKY-AE3JkECxsR6pv0MPFA_11_0"/>
      <w:bookmarkStart w:id="2016" w:name="Tc_kB7doyGN_ESKETMZV8ipHw_10_0"/>
      <w:bookmarkStart w:id="2017" w:name="Tc_YcnjpxARvkKhwMTrTqgoXg_9_0"/>
      <w:bookmarkStart w:id="2018" w:name="Tc_riLotdJ_0kqyF4YeXBRD-Q_8_0"/>
      <w:bookmarkStart w:id="2019" w:name="Tc_u_EvsXwwykS7F1rF79ZQRA_7_0"/>
      <w:bookmarkStart w:id="2020" w:name="Tc_TGBEbh1ZZkKetbsxQ08w5g_6_0"/>
      <w:bookmarkStart w:id="2021" w:name="Tc_X8k8I_mDs0WXL-PfAKSi5w_5_0"/>
      <w:bookmarkStart w:id="2022" w:name="Tc_vNXHhK0_HUaNiQccCalhXA_4_0"/>
      <w:bookmarkStart w:id="2023" w:name="Tc_-XVKoqNBy0KV-ou2Cc6krQ_3_6"/>
      <w:bookmarkStart w:id="2024" w:name="Tc_wWF-mc0NGEmcljXL3E5f7A_3_4"/>
      <w:bookmarkStart w:id="2025" w:name="Tc_Vw9tpAnaMkuIcjE9TzhvYQ_3_2"/>
      <w:bookmarkStart w:id="2026" w:name="Tc_3ddzsN1cVEC43YaRhnFARw_2_6"/>
      <w:bookmarkStart w:id="2027" w:name="Tc_Ts2mPf78k02YnMGnl2gC1g_2_4"/>
      <w:bookmarkStart w:id="2028" w:name="Tc_iGabcwHjVEqC0QVp_p_fCQ_2_2"/>
      <w:bookmarkStart w:id="2029" w:name="Tc_oiZrrY-iH0CqX7IOGHvj6g_1_2"/>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r>
        <w:rPr>
          <w:rFonts w:ascii="Times New Roman;Times;serif" w:hAnsi="Times New Roman;Times;serif"/>
          <w:b/>
          <w:sz w:val="20"/>
        </w:rPr>
        <w:t>10. Long-term investments, net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summarizes the condensed financial information of the Group’s equity investments under equity method as a group below in accordance with Rule 4-08 of Regulation S-X:</w:t>
      </w:r>
    </w:p>
    <w:p>
      <w:pPr>
        <w:pStyle w:val="TextBody"/>
        <w:spacing w:before="0" w:after="0"/>
        <w:ind w:left="0" w:right="0" w:hanging="0"/>
        <w:rPr/>
      </w:pPr>
      <w:r>
        <w:rPr/>
        <w:t>​</w:t>
      </w:r>
    </w:p>
    <w:tbl>
      <w:tblPr>
        <w:tblW w:w="10042" w:type="dxa"/>
        <w:jc w:val="left"/>
        <w:tblInd w:w="0" w:type="dxa"/>
        <w:tblCellMar>
          <w:top w:w="0" w:type="dxa"/>
          <w:left w:w="0" w:type="dxa"/>
          <w:bottom w:w="0" w:type="dxa"/>
          <w:right w:w="0" w:type="dxa"/>
        </w:tblCellMar>
      </w:tblPr>
      <w:tblGrid>
        <w:gridCol w:w="5776"/>
        <w:gridCol w:w="326"/>
        <w:gridCol w:w="1036"/>
        <w:gridCol w:w="326"/>
        <w:gridCol w:w="1156"/>
        <w:gridCol w:w="326"/>
        <w:gridCol w:w="1096"/>
      </w:tblGrid>
      <w:tr>
        <w:trPr/>
        <w:tc>
          <w:tcPr>
            <w:tcW w:w="5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667760" cy="175260"/>
                      <wp:effectExtent l="0" t="0" r="0" b="0"/>
                      <wp:wrapNone/>
                      <wp:docPr id="538" name="Frame531"/>
                      <a:graphic xmlns:a="http://schemas.openxmlformats.org/drawingml/2006/main">
                        <a:graphicData uri="http://schemas.microsoft.com/office/word/2010/wordprocessingShape">
                          <wps:wsp>
                            <wps:cNvSpPr txBox="1"/>
                            <wps:spPr>
                              <a:xfrm>
                                <a:off x="0" y="0"/>
                                <a:ext cx="3667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39" name="Frame5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57860" cy="175260"/>
                      <wp:effectExtent l="0" t="0" r="0" b="0"/>
                      <wp:wrapNone/>
                      <wp:docPr id="540" name="Frame53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1" name="Frame5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734060" cy="175260"/>
                      <wp:effectExtent l="0" t="0" r="0" b="0"/>
                      <wp:wrapNone/>
                      <wp:docPr id="542" name="Frame53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3" name="Frame5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5960" cy="175260"/>
                      <wp:effectExtent l="0" t="0" r="0" b="0"/>
                      <wp:wrapNone/>
                      <wp:docPr id="544" name="Frame537"/>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9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Results of operations: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  </w:t>
            </w:r>
          </w:p>
        </w:tc>
      </w:tr>
      <w:tr>
        <w:trPr/>
        <w:tc>
          <w:tcPr>
            <w:tcW w:w="57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9,721,658</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7,549,918</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8,906,174</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3,819,309</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(4,257,022)</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1,712,738</w:t>
            </w:r>
          </w:p>
        </w:tc>
      </w:tr>
      <w:tr>
        <w:trPr/>
        <w:tc>
          <w:tcPr>
            <w:tcW w:w="57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2,880,369</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(16,489,595)</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(1,248,914)</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(loss), net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2,881,779</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1,999,569</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(2,468,292)</w:t>
            </w:r>
          </w:p>
        </w:tc>
      </w:tr>
      <w:tr>
        <w:trPr/>
        <w:tc>
          <w:tcPr>
            <w:tcW w:w="57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sheet data:</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14,591,256</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54,810,598</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52,797,753</w:t>
            </w:r>
          </w:p>
        </w:tc>
      </w:tr>
      <w:tr>
        <w:trPr/>
        <w:tc>
          <w:tcPr>
            <w:tcW w:w="57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w:t>
              <w:noBreakHyphen/>
              <w:t>current assets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16,999,044</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17,656,885</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14,891,760</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2,158,751</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31,611,814</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38,391,255</w:t>
            </w:r>
          </w:p>
        </w:tc>
      </w:tr>
      <w:tr>
        <w:trPr/>
        <w:tc>
          <w:tcPr>
            <w:tcW w:w="57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w:t>
              <w:noBreakHyphen/>
              <w:t>current liabilities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6,696,509</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5,536,458</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3,308,611</w:t>
            </w:r>
          </w:p>
        </w:tc>
      </w:tr>
      <w:tr>
        <w:trPr/>
        <w:tc>
          <w:tcPr>
            <w:tcW w:w="57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redeemable preferred shares and non</w:t>
              <w:noBreakHyphen/>
              <w:t>controlling interests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2,703,764</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7,160,924</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condensed financial information of the Group’s equity investments under equity method or under fair value option, for which the equity method otherwise would be required was summarized in the aggregate amount. As the Group’s shareholding interests in these investees vary among different equity method investees, which includes 3% to 5% interests in certain funds in the form of partnership, the Group recognized small proportionate share of gain or loss accordingly from these entities. In addition, the Group did not recognize the proportionate share of loss from Chengxin as the fair value option was selected for the equity investment of Chengxin before the completion of its distribution of the available assets to its shareholders in July 2022 (Note 4). As a result, the income (loss) from equity method investments, net in the consolidated statement of comprehensive loss is not comparable with the above table.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030" w:name="_44cfbf6d_ce9e_4d73_a8ee_3b8971e121e6_4"/>
      <w:bookmarkStart w:id="2031" w:name="_44cfbf6d_ce9e_4d73_a8ee_3b8971e121e6_3"/>
      <w:bookmarkStart w:id="2032" w:name="_44cfbf6d_ce9e_4d73_a8ee_3b8971e121e6_2"/>
      <w:bookmarkStart w:id="2033" w:name="_44cfbf6d_ce9e_4d73_a8ee_3b8971e121e6"/>
      <w:bookmarkStart w:id="2034" w:name="Tc_hvQRAtZ0FkSYknEYGSk2Wg_14_0"/>
      <w:bookmarkStart w:id="2035" w:name="Tc_bhHKhOhYKE2K3smsC26pxw_13_0"/>
      <w:bookmarkStart w:id="2036" w:name="Tc_DOw6Qi37mUWZ-wVFnspEvg_12_0"/>
      <w:bookmarkStart w:id="2037" w:name="Tc_VbTCGTAH0E6YrQWRZdqT_Q_11_0"/>
      <w:bookmarkStart w:id="2038" w:name="Tc_awWUgp8QlUG11__UZduNEg_10_0"/>
      <w:bookmarkStart w:id="2039" w:name="Tc_v_hvIGqJIU-DzNSgKxzNHQ_9_0"/>
      <w:bookmarkStart w:id="2040" w:name="Tc_7ek47m2qR0enINWHwa741g_8_0"/>
      <w:bookmarkStart w:id="2041" w:name="Tc_5qJp3Q6aY0uPyhDBkUYeYg_7_0"/>
      <w:bookmarkStart w:id="2042" w:name="Tc_exkXgDq0u0KJZ8gJnlt8Sw_6_0"/>
      <w:bookmarkStart w:id="2043" w:name="Tc_-raZUj23HEqfGG053R7vLg_5_0"/>
      <w:bookmarkStart w:id="2044" w:name="Tc_q2EEX5tAN0q_Iwf6VumTow_3_4"/>
      <w:bookmarkStart w:id="2045" w:name="Tc_0cK0Aa31lEa3kB0cYgOJtQ_3_2"/>
      <w:bookmarkStart w:id="2046" w:name="Tc_IsFaavZN3kym5y2DunV-2w_2_4"/>
      <w:bookmarkStart w:id="2047" w:name="Tc_PxA-PdTT9UqNibCTAFc_4g_2_2"/>
      <w:bookmarkStart w:id="2048" w:name="Tc_AmKyGJGW0UWkJou_CXKG-A_1_2"/>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r>
        <w:rPr>
          <w:rFonts w:ascii="Times New Roman;Times;serif" w:hAnsi="Times New Roman;Times;serif"/>
          <w:b/>
          <w:sz w:val="20"/>
        </w:rPr>
        <w:t>11. Property and equipment,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spacing w:before="0" w:after="0"/>
        <w:ind w:left="0" w:right="0" w:hanging="0"/>
        <w:rPr/>
      </w:pPr>
      <w:r>
        <w:rPr/>
        <w:t>​</w:t>
      </w:r>
    </w:p>
    <w:tbl>
      <w:tblPr>
        <w:tblW w:w="5905" w:type="dxa"/>
        <w:jc w:val="left"/>
        <w:tblInd w:w="0" w:type="dxa"/>
        <w:tblCellMar>
          <w:top w:w="0" w:type="dxa"/>
          <w:left w:w="0" w:type="dxa"/>
          <w:bottom w:w="0" w:type="dxa"/>
          <w:right w:w="0" w:type="dxa"/>
        </w:tblCellMar>
      </w:tblPr>
      <w:tblGrid>
        <w:gridCol w:w="3001"/>
        <w:gridCol w:w="326"/>
        <w:gridCol w:w="1051"/>
        <w:gridCol w:w="326"/>
        <w:gridCol w:w="1201"/>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905635" cy="175260"/>
                      <wp:effectExtent l="0" t="0" r="0" b="0"/>
                      <wp:wrapNone/>
                      <wp:docPr id="545" name="Frame538"/>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6" name="Frame5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67385" cy="175260"/>
                      <wp:effectExtent l="0" t="0" r="0" b="0"/>
                      <wp:wrapNone/>
                      <wp:docPr id="547" name="Frame540"/>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48" name="Frame5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762635" cy="175260"/>
                      <wp:effectExtent l="0" t="0" r="0" b="0"/>
                      <wp:wrapNone/>
                      <wp:docPr id="549" name="Frame542"/>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pPr>
            <w:r>
              <w:rPr/>
              <w:t>​</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Bikes and e-bikes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11,774,212</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9,966,031</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Vehicles</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3,538,274</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3,022,763</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Computers and equipment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3,723,744</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4,145,016</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644,251</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707,947</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393,540</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170,785</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35,057</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35,173</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20,109,078</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18,047,715</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(8,960,129)</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(10,305,649)</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(3,148,731)</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(2,023,742)</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8,000,218</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5,718,324</w:t>
            </w:r>
          </w:p>
        </w:tc>
      </w:tr>
    </w:tbl>
    <w:p>
      <w:pPr>
        <w:pStyle w:val="TextBody"/>
        <w:spacing w:before="0" w:after="0"/>
        <w:ind w:left="0" w:right="0" w:hanging="0"/>
        <w:rPr/>
      </w:pPr>
      <w:r>
        <w:rPr/>
        <w:t>​</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Depreciation expenses recognized for the years ended December 31, 2020, 2021 and 2022 were RMB3,275,144, RMB4,220,521, and RMB3,511,825, respectively.</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2021 and 2022, the impairment losses for property and equipment were RMB855,988, RMB2,247,738 and nil respectively. For the year ended December 31, 2020, the impairment charge of RMB751,065 on the vehicles leased to drivers in the PRC was mainly caused by the adverse impact of the COVID-19 pandemic on the Group’s China Mobility business. For the year ended December 31, 2021, the impairment charge of RMB2,164,409 on bikes and e-bikes was mainly caused by the adverse change in the operating and financial performance of the Group’s bike and e-bike sharing business during the third quarter of 2021.</w:t>
      </w:r>
    </w:p>
    <w:p>
      <w:pPr>
        <w:pStyle w:val="TextBody"/>
        <w:spacing w:before="0" w:after="240"/>
        <w:ind w:left="0" w:right="0" w:hanging="0"/>
        <w:rPr>
          <w:rFonts w:ascii="Times New Roman;Times;serif" w:hAnsi="Times New Roman;Times;serif"/>
          <w:b/>
          <w:sz w:val="20"/>
        </w:rPr>
      </w:pPr>
      <w:bookmarkStart w:id="2049" w:name="Tc_VmpaKkEJvUa7FRJxOlc5Pg_8_0"/>
      <w:bookmarkStart w:id="2050" w:name="Tc_nFmr9yjtEk629A9RJId46Q_7_0"/>
      <w:bookmarkStart w:id="2051" w:name="Tc_sM442lPmvk-Ot4k9CB0YAQ_6_0"/>
      <w:bookmarkStart w:id="2052" w:name="Tc_vYJ2TzYUhUeImSvdF9-nTA_5_0"/>
      <w:bookmarkStart w:id="2053" w:name="Tc_gqc4S16_ZU2-9SfAWnGPxw_3_6"/>
      <w:bookmarkStart w:id="2054" w:name="Tc_xzB9jOzJFk6c1hyHgDqrYg_3_4"/>
      <w:bookmarkStart w:id="2055" w:name="Tc_bXRg9o4s20OYJvLF6Sy--w_3_2"/>
      <w:bookmarkStart w:id="2056" w:name="Tc_wfMSHxuAgE2P-tD6-o5bcg_2_6"/>
      <w:bookmarkStart w:id="2057" w:name="Tc_q21VA32pHEmz_6wr85Dfgw_2_4"/>
      <w:bookmarkStart w:id="2058" w:name="Tc_MCeJX3aaKkS13gQQYTNDcA_2_2"/>
      <w:bookmarkStart w:id="2059" w:name="Tc_YnihDAW6E0CDkONm5XjPPw_1_2"/>
      <w:bookmarkEnd w:id="2049"/>
      <w:bookmarkEnd w:id="2050"/>
      <w:bookmarkEnd w:id="2051"/>
      <w:bookmarkEnd w:id="2052"/>
      <w:bookmarkEnd w:id="2053"/>
      <w:bookmarkEnd w:id="2054"/>
      <w:bookmarkEnd w:id="2055"/>
      <w:bookmarkEnd w:id="2056"/>
      <w:bookmarkEnd w:id="2057"/>
      <w:bookmarkEnd w:id="2058"/>
      <w:bookmarkEnd w:id="2059"/>
      <w:r>
        <w:rPr>
          <w:rFonts w:ascii="Times New Roman;Times;serif" w:hAnsi="Times New Roman;Times;serif"/>
          <w:b/>
          <w:sz w:val="20"/>
        </w:rPr>
        <w:t>12. Operating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leases of the Group primarily consist of leases of offices and data centers. The recognition of whether a contract arrangement contains a lease is made by evaluating whether the arrangement conveys the right to use an identified asset and whether the Group obtains substantially all the economic benefits from and has the ability to direct the use of the asset.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lease assets and liabilities are included in the items of operating lease right-of-use assets, operating lease liabilities, current portion, and operating lease liabilities, non-current portion on the consolidated balance sheets.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components of lease expenses for the years ended December 31, 2020, 2021 and 2022 are as follows:</w:t>
      </w:r>
    </w:p>
    <w:p>
      <w:pPr>
        <w:pStyle w:val="TextBody"/>
        <w:spacing w:before="0" w:after="0"/>
        <w:ind w:left="0" w:right="0" w:hanging="0"/>
        <w:rPr/>
      </w:pPr>
      <w:r>
        <w:rPr/>
        <w:t>​</w:t>
      </w:r>
    </w:p>
    <w:tbl>
      <w:tblPr>
        <w:tblW w:w="5527" w:type="dxa"/>
        <w:jc w:val="left"/>
        <w:tblInd w:w="0" w:type="dxa"/>
        <w:tblCellMar>
          <w:top w:w="0" w:type="dxa"/>
          <w:left w:w="0" w:type="dxa"/>
          <w:bottom w:w="0" w:type="dxa"/>
          <w:right w:w="0" w:type="dxa"/>
        </w:tblCellMar>
      </w:tblPr>
      <w:tblGrid>
        <w:gridCol w:w="1801"/>
        <w:gridCol w:w="326"/>
        <w:gridCol w:w="781"/>
        <w:gridCol w:w="326"/>
        <w:gridCol w:w="931"/>
        <w:gridCol w:w="326"/>
        <w:gridCol w:w="1036"/>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143635" cy="175260"/>
                      <wp:effectExtent l="0" t="0" r="0" b="0"/>
                      <wp:wrapNone/>
                      <wp:docPr id="550" name="Frame543"/>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1" name="Frame5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52" name="Frame5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3" name="Frame5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91185" cy="175260"/>
                      <wp:effectExtent l="0" t="0" r="0" b="0"/>
                      <wp:wrapNone/>
                      <wp:docPr id="554" name="Frame54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5" name="Frame5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57860" cy="175260"/>
                      <wp:effectExtent l="0" t="0" r="0" b="0"/>
                      <wp:wrapNone/>
                      <wp:docPr id="556" name="Frame54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681,841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726,359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729,038</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w:t>
              <w:noBreakHyphen/>
              <w:t>term lease cost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128,865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467,384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416,215</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80,015</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121,353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150,994</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lease cost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890,721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1,315,096</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1,296,247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060" w:name="Tc_jOxiV7p2-EqvmFGAKDvibg_12_0"/>
      <w:bookmarkStart w:id="2061" w:name="Tc_IcSA0GlMDUastW84vaZiaQ_11_0"/>
      <w:bookmarkStart w:id="2062" w:name="Tc_is3l7Te7OEu0_e6KWgRI5Q_10_0"/>
      <w:bookmarkStart w:id="2063" w:name="Tc_PgNj48Z-10yE2OdCSlljAg_9_0"/>
      <w:bookmarkStart w:id="2064" w:name="Tc_iKOaUH4TNUCheRe6moLn8A_8_0"/>
      <w:bookmarkStart w:id="2065" w:name="Tc_9Lp65M93DEeb4rIuVlCfKA_7_0"/>
      <w:bookmarkStart w:id="2066" w:name="Tc_ugVU9mGUDkGr4uPmyWGv0A_6_0"/>
      <w:bookmarkStart w:id="2067" w:name="Tc_eeDNq0krME6yrEFnqgZEDQ_5_0"/>
      <w:bookmarkStart w:id="2068" w:name="Tc_zBIsfgcH2kOZareAAzKt9g_3_2"/>
      <w:bookmarkStart w:id="2069" w:name="Tc_7tZC12jEq0GjEaftOwZIGw_2_2"/>
      <w:bookmarkStart w:id="2070" w:name="Tc_VTGv6gAh5EOGPZQTsEr9_A_1_2"/>
      <w:bookmarkStart w:id="2071" w:name="Tc_xl6aMgqlEU-K1nhj4LBIng_6_0"/>
      <w:bookmarkStart w:id="2072" w:name="Tc_EWgBdOP_50y6VbeLQ07DEw_5_0"/>
      <w:bookmarkStart w:id="2073" w:name="Tc_-gBCP59mOkKhq6JMTDlPGw_3_6"/>
      <w:bookmarkStart w:id="2074" w:name="Tc_UR4HxFPh2UiQfV64X5_Gvw_3_4"/>
      <w:bookmarkStart w:id="2075" w:name="Tc_Js0an_ng6EK3wdfFW3HsNg_3_2"/>
      <w:bookmarkStart w:id="2076" w:name="Tc_nZkPhCo8hUmxLxDzyyWmsA_2_6"/>
      <w:bookmarkStart w:id="2077" w:name="Tc_LlPoi1HJuUG1PXYic4lUNg_2_4"/>
      <w:bookmarkStart w:id="2078" w:name="Tc_ooV4a6TPl02b8l8BnG-P8w_2_2"/>
      <w:bookmarkStart w:id="2079" w:name="Tc_Oy2VS0_oOUeQdrrUaizM5w_1_2"/>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r>
        <w:rPr>
          <w:rFonts w:ascii="Times New Roman;Times;serif" w:hAnsi="Times New Roman;Times;serif"/>
          <w:b/>
          <w:sz w:val="20"/>
        </w:rPr>
        <w:t>12. Operating leases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Supplemental cash flows information related to leases is as follows:</w:t>
      </w:r>
    </w:p>
    <w:p>
      <w:pPr>
        <w:pStyle w:val="TextBody"/>
        <w:spacing w:before="0" w:after="0"/>
        <w:ind w:left="0" w:right="0" w:hanging="0"/>
        <w:rPr/>
      </w:pPr>
      <w:r>
        <w:rPr/>
        <w:t>​</w:t>
      </w:r>
    </w:p>
    <w:tbl>
      <w:tblPr>
        <w:tblW w:w="8782" w:type="dxa"/>
        <w:jc w:val="left"/>
        <w:tblInd w:w="0" w:type="dxa"/>
        <w:tblCellMar>
          <w:top w:w="0" w:type="dxa"/>
          <w:left w:w="0" w:type="dxa"/>
          <w:bottom w:w="0" w:type="dxa"/>
          <w:right w:w="0" w:type="dxa"/>
        </w:tblCellMar>
      </w:tblPr>
      <w:tblGrid>
        <w:gridCol w:w="5206"/>
        <w:gridCol w:w="326"/>
        <w:gridCol w:w="931"/>
        <w:gridCol w:w="326"/>
        <w:gridCol w:w="781"/>
        <w:gridCol w:w="326"/>
        <w:gridCol w:w="886"/>
      </w:tblGrid>
      <w:tr>
        <w:trPr/>
        <w:tc>
          <w:tcPr>
            <w:tcW w:w="5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305810" cy="175260"/>
                      <wp:effectExtent l="0" t="0" r="0" b="0"/>
                      <wp:wrapNone/>
                      <wp:docPr id="557" name="Frame550"/>
                      <a:graphic xmlns:a="http://schemas.openxmlformats.org/drawingml/2006/main">
                        <a:graphicData uri="http://schemas.microsoft.com/office/word/2010/wordprocessingShape">
                          <wps:wsp>
                            <wps:cNvSpPr txBox="1"/>
                            <wps:spPr>
                              <a:xfrm>
                                <a:off x="0" y="0"/>
                                <a:ext cx="330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58" name="Frame5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91185" cy="175260"/>
                      <wp:effectExtent l="0" t="0" r="0" b="0"/>
                      <wp:wrapNone/>
                      <wp:docPr id="559" name="Frame55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0" name="Frame5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61" name="Frame5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2" name="Frame5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62610" cy="175260"/>
                      <wp:effectExtent l="0" t="0" r="0" b="0"/>
                      <wp:wrapNone/>
                      <wp:docPr id="563" name="Frame55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2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payments for operating leases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707,140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761,352</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783,337</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ROU assets obtained in exchange for operating lease liabilities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1,158,347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910,144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978,608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December 31, 2022, the Company’s operating leases had a weighted average remaining lease term </w:t>
      </w:r>
      <w:r>
        <w:rPr>
          <w:rFonts w:ascii="Times New Roman;Times;serif" w:hAnsi="Times New Roman;Times;serif"/>
          <w:sz w:val="20"/>
          <w:highlight w:val="white"/>
        </w:rPr>
        <w:t>of 2.84 years and a weighted average discount rate of 4.77%.</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Maturities of lease liabilities are as follows:</w:t>
      </w:r>
    </w:p>
    <w:p>
      <w:pPr>
        <w:pStyle w:val="TextBody"/>
        <w:spacing w:before="0" w:after="0"/>
        <w:ind w:left="0" w:right="0" w:hanging="0"/>
        <w:rPr/>
      </w:pPr>
      <w:r>
        <w:rPr/>
        <w:t>​</w:t>
      </w:r>
    </w:p>
    <w:tbl>
      <w:tblPr>
        <w:tblW w:w="4903" w:type="dxa"/>
        <w:jc w:val="left"/>
        <w:tblInd w:w="0" w:type="dxa"/>
        <w:tblCellMar>
          <w:top w:w="0" w:type="dxa"/>
          <w:left w:w="0" w:type="dxa"/>
          <w:bottom w:w="0" w:type="dxa"/>
          <w:right w:w="0" w:type="dxa"/>
        </w:tblCellMar>
      </w:tblPr>
      <w:tblGrid>
        <w:gridCol w:w="3061"/>
        <w:gridCol w:w="326"/>
        <w:gridCol w:w="1516"/>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943735" cy="175260"/>
                      <wp:effectExtent l="0" t="0" r="0" b="0"/>
                      <wp:wrapNone/>
                      <wp:docPr id="564" name="Frame557"/>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5" name="Frame5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962660" cy="175260"/>
                      <wp:effectExtent l="0" t="0" r="0" b="0"/>
                      <wp:wrapNone/>
                      <wp:docPr id="566" name="Frame559"/>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pPr>
            <w:r>
              <w:rPr/>
              <w:t>​</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582,029</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363,989</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238,767</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94,642</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0"/>
              <w:ind w:left="0" w:right="0" w:hanging="0"/>
              <w:rPr/>
            </w:pPr>
            <w:r>
              <w:rPr/>
              <w:t>​</w:t>
            </w:r>
          </w:p>
        </w:tc>
        <w:tc>
          <w:tcPr>
            <w:tcW w:w="15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110,167</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undiscounted lease payments</w:t>
            </w:r>
          </w:p>
        </w:tc>
        <w:tc>
          <w:tcPr>
            <w:tcW w:w="326" w:type="dxa"/>
            <w:tcBorders/>
            <w:shd w:fill="auto" w:val="clear"/>
            <w:vAlign w:val="center"/>
          </w:tcPr>
          <w:p>
            <w:pPr>
              <w:pStyle w:val="TableContents"/>
              <w:spacing w:before="0" w:after="0"/>
              <w:ind w:left="0" w:right="0" w:hanging="0"/>
              <w:rPr/>
            </w:pPr>
            <w:r>
              <w:rPr/>
              <w:t>​</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1,389,594</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spacing w:before="0" w:after="0"/>
              <w:ind w:left="0" w:right="0" w:hanging="0"/>
              <w:rPr/>
            </w:pPr>
            <w:r>
              <w:rPr/>
              <w:t>​</w:t>
            </w:r>
          </w:p>
        </w:tc>
        <w:tc>
          <w:tcPr>
            <w:tcW w:w="15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(131,690)</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lease liabilities</w:t>
            </w:r>
          </w:p>
        </w:tc>
        <w:tc>
          <w:tcPr>
            <w:tcW w:w="326" w:type="dxa"/>
            <w:tcBorders/>
            <w:shd w:fill="auto" w:val="clear"/>
            <w:vAlign w:val="center"/>
          </w:tcPr>
          <w:p>
            <w:pPr>
              <w:pStyle w:val="TableContents"/>
              <w:spacing w:before="0" w:after="0"/>
              <w:ind w:left="0" w:right="0" w:hanging="0"/>
              <w:rPr/>
            </w:pPr>
            <w:r>
              <w:rPr/>
              <w:t>​</w:t>
            </w:r>
          </w:p>
        </w:tc>
        <w:tc>
          <w:tcPr>
            <w:tcW w:w="151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1,257,904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080" w:name="Tc_dyNhNYjBHEuzSkeggTPRtQ_17_0"/>
      <w:bookmarkStart w:id="2081" w:name="Tc_OAG4kvSiR0Cd9MnnYVudow_16_0"/>
      <w:bookmarkStart w:id="2082" w:name="Tc_1xF--3iHO0-GNF9Swtk3_g_15_0"/>
      <w:bookmarkStart w:id="2083" w:name="Tc_Lma4gu_tfkuxCHI4Nrjn_w_14_0"/>
      <w:bookmarkStart w:id="2084" w:name="Tc_60bbBVu0uUG7UZ0eRuDxaA_13_0"/>
      <w:bookmarkStart w:id="2085" w:name="Tc_TR845Dka4kOhfaMtJLejmQ_12_0"/>
      <w:bookmarkStart w:id="2086" w:name="Tc_cANOEz5gPUiEAbkaeHU04Q_11_0"/>
      <w:bookmarkStart w:id="2087" w:name="Tc_3efRoKIVBUOGax_8vxXfyQ_10_0"/>
      <w:bookmarkStart w:id="2088" w:name="Tc_4t7Cim_53UKrkvuKagK-_w_9_0"/>
      <w:bookmarkStart w:id="2089" w:name="Tc_nZ_jF3E_l0KXbmLihjqspg_8_0"/>
      <w:bookmarkStart w:id="2090" w:name="Tc_I53v43dPx0yW86T3ptjyRg_7_0"/>
      <w:bookmarkStart w:id="2091" w:name="Tc_lnYAQBcVKUmnLLyfn3SrAw_6_0"/>
      <w:bookmarkStart w:id="2092" w:name="Tc_mPXvX-_jUUSlG03GniZcSQ_5_0"/>
      <w:bookmarkStart w:id="2093" w:name="Tc_Sovl5TwybEmgGGUm1eK-sQ_4_0"/>
      <w:bookmarkStart w:id="2094" w:name="Tc_L6_3gC20B0mnxbzk-ZFjxA_3_4"/>
      <w:bookmarkStart w:id="2095" w:name="Tc_QyMqHfL4_E6MsxY_az4cEQ_3_2"/>
      <w:bookmarkStart w:id="2096" w:name="Tc_QwK5pruMvEiGs4AOkICOow_2_4"/>
      <w:bookmarkStart w:id="2097" w:name="Tc_3B9yFlP9j0q8v4qfJVfxZg_2_2"/>
      <w:bookmarkStart w:id="2098" w:name="Tc_pX3tYAJ70U-a4ISR1w52sA_1_2"/>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r>
        <w:rPr>
          <w:rFonts w:ascii="Times New Roman;Times;serif" w:hAnsi="Times New Roman;Times;serif"/>
          <w:b/>
          <w:sz w:val="20"/>
        </w:rPr>
        <w:t>13. Intangible assets,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intangible assets, net consist of following:</w:t>
      </w:r>
    </w:p>
    <w:p>
      <w:pPr>
        <w:pStyle w:val="TextBody"/>
        <w:spacing w:before="0" w:after="0"/>
        <w:ind w:left="0" w:right="0" w:hanging="0"/>
        <w:rPr/>
      </w:pPr>
      <w:r>
        <w:rPr/>
        <w:t>​</w:t>
      </w:r>
    </w:p>
    <w:tbl>
      <w:tblPr>
        <w:tblW w:w="6730" w:type="dxa"/>
        <w:jc w:val="left"/>
        <w:tblInd w:w="0" w:type="dxa"/>
        <w:tblCellMar>
          <w:top w:w="0" w:type="dxa"/>
          <w:left w:w="0" w:type="dxa"/>
          <w:bottom w:w="0" w:type="dxa"/>
          <w:right w:w="0" w:type="dxa"/>
        </w:tblCellMar>
      </w:tblPr>
      <w:tblGrid>
        <w:gridCol w:w="3721"/>
        <w:gridCol w:w="326"/>
        <w:gridCol w:w="1156"/>
        <w:gridCol w:w="326"/>
        <w:gridCol w:w="1201"/>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362835" cy="175260"/>
                      <wp:effectExtent l="0" t="0" r="0" b="0"/>
                      <wp:wrapNone/>
                      <wp:docPr id="567" name="Frame560"/>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68" name="Frame5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734060" cy="175260"/>
                      <wp:effectExtent l="0" t="0" r="0" b="0"/>
                      <wp:wrapNone/>
                      <wp:docPr id="569" name="Frame562"/>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0" name="Frame5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762635" cy="175260"/>
                      <wp:effectExtent l="0" t="0" r="0" b="0"/>
                      <wp:wrapNone/>
                      <wp:docPr id="571" name="Frame564"/>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6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  </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w:t>
              <w:noBreakHyphen/>
              <w:t>compete agreements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7,183,773</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7,183,773</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Trademarks, patents, software and others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5,268,168</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5,413,444</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lists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1,553,507</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1,563,680</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Driver lists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296,332</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301,641</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14,301,780</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14,462,538</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(11,182,929)</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(12,846,495)</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(287,270)</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(346,466)</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2,831,581</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1,269,577</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Indefinite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pPr>
            <w:r>
              <w:rPr/>
              <w:t>​</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Online payment license</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398,085</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398,085</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56,479</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56,479</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454,564</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454,564</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Finite and indefinite</w:t>
            </w:r>
            <w:r>
              <w:rPr>
                <w:rFonts w:ascii="Times New Roman;Times;serif" w:hAnsi="Times New Roman;Times;serif"/>
                <w:sz w:val="20"/>
              </w:rPr>
              <w:noBreakHyphen/>
            </w:r>
            <w:r>
              <w:rPr>
                <w:rFonts w:ascii="Times New Roman;Times;serif" w:hAnsi="Times New Roman;Times;serif"/>
                <w:b/>
                <w:sz w:val="20"/>
              </w:rPr>
              <w:t>lived intangible assets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3,286,145</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1,724,141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099" w:name="Tc_yqJzhTpNl0iGKtuCOBlCnQ_8_0"/>
      <w:bookmarkStart w:id="2100" w:name="Tc_fn3Yk8_0nEWz0oVbhk9hkQ_7_0"/>
      <w:bookmarkStart w:id="2101" w:name="Tc_jiVDDAmGQUq__3XIGZQVNg_6_0"/>
      <w:bookmarkStart w:id="2102" w:name="Tc_OllLP2KWWk-UkRNqUa9tiw_5_0"/>
      <w:bookmarkStart w:id="2103" w:name="Tc_g7h0FRE-fkeBIkV236O2Qw_4_0"/>
      <w:bookmarkStart w:id="2104" w:name="Tc_j9zh0R1Pg0m7ul9Od1BJNA_3_0"/>
      <w:bookmarkStart w:id="2105" w:name="Tc_R8veIRVWnkmI9-1M5PAdjg_2_2"/>
      <w:bookmarkStart w:id="2106" w:name="Tc_GeDLtMtYyk2zf00tq3HCXw_1_2"/>
      <w:bookmarkEnd w:id="2099"/>
      <w:bookmarkEnd w:id="2100"/>
      <w:bookmarkEnd w:id="2101"/>
      <w:bookmarkEnd w:id="2102"/>
      <w:bookmarkEnd w:id="2103"/>
      <w:bookmarkEnd w:id="2104"/>
      <w:bookmarkEnd w:id="2105"/>
      <w:bookmarkEnd w:id="2106"/>
      <w:r>
        <w:rPr>
          <w:rFonts w:ascii="Times New Roman;Times;serif" w:hAnsi="Times New Roman;Times;serif"/>
          <w:b/>
          <w:sz w:val="20"/>
        </w:rPr>
        <w:t>13. Intangible assets, net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years ended December 31, 2020, 2021 and 2022, amortization expenses amounted to RMB1,993,945, RMB1,824,762 and RMB1,631,280,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years ended December 31, 2020, 2021 and 2022, the impairment losses for intangible assets were nil, RMB288,221 and RMB17,736, respectively. For the year ended December 31, 2021, the impairment charge was recorded for the intangible assets generated from the acquisition of 99 Taxis. Refer to Note 14 Goodwill for further information.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amortization expenses related to finite-lived intangible assets for future periods are estimated to be as follows:</w:t>
      </w:r>
    </w:p>
    <w:p>
      <w:pPr>
        <w:pStyle w:val="TextBody"/>
        <w:spacing w:before="0" w:after="0"/>
        <w:ind w:left="0" w:right="0" w:hanging="0"/>
        <w:rPr/>
      </w:pPr>
      <w:r>
        <w:rPr/>
        <w:t>​</w:t>
      </w:r>
    </w:p>
    <w:tbl>
      <w:tblPr>
        <w:tblW w:w="5443" w:type="dxa"/>
        <w:jc w:val="left"/>
        <w:tblInd w:w="0" w:type="dxa"/>
        <w:tblCellMar>
          <w:top w:w="0" w:type="dxa"/>
          <w:left w:w="0" w:type="dxa"/>
          <w:bottom w:w="0" w:type="dxa"/>
          <w:right w:w="0" w:type="dxa"/>
        </w:tblCellMar>
      </w:tblPr>
      <w:tblGrid>
        <w:gridCol w:w="3301"/>
        <w:gridCol w:w="326"/>
        <w:gridCol w:w="1816"/>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96135" cy="175260"/>
                      <wp:effectExtent l="0" t="0" r="0" b="0"/>
                      <wp:wrapNone/>
                      <wp:docPr id="572" name="Frame565"/>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3"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153160" cy="175260"/>
                      <wp:effectExtent l="0" t="0" r="0" b="0"/>
                      <wp:wrapNone/>
                      <wp:docPr id="574" name="Frame567"/>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Expenses</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jc w:val="center"/>
              <w:rPr/>
            </w:pPr>
            <w:r>
              <w:rPr/>
              <w:t>​</w:t>
            </w:r>
          </w:p>
        </w:tc>
        <w:tc>
          <w:tcPr>
            <w:tcW w:w="1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1,000,676</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133,845</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1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54,985</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38,321</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0"/>
              <w:ind w:left="0" w:right="0" w:hanging="0"/>
              <w:rPr/>
            </w:pPr>
            <w:r>
              <w:rPr/>
              <w:t>​</w:t>
            </w:r>
          </w:p>
        </w:tc>
        <w:tc>
          <w:tcPr>
            <w:tcW w:w="1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41,750</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expected amortization expenses</w:t>
            </w:r>
          </w:p>
        </w:tc>
        <w:tc>
          <w:tcPr>
            <w:tcW w:w="326" w:type="dxa"/>
            <w:tcBorders/>
            <w:shd w:fill="auto" w:val="clear"/>
            <w:vAlign w:val="center"/>
          </w:tcPr>
          <w:p>
            <w:pPr>
              <w:pStyle w:val="TableContents"/>
              <w:spacing w:before="0" w:after="0"/>
              <w:ind w:left="0" w:right="0" w:hanging="0"/>
              <w:rPr/>
            </w:pPr>
            <w:r>
              <w:rPr/>
              <w:t>​</w:t>
            </w:r>
          </w:p>
        </w:tc>
        <w:tc>
          <w:tcPr>
            <w:tcW w:w="181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1,269,577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107" w:name="Tc_5fqbTrF-7Ue45rgbjrTBBg_10_0"/>
      <w:bookmarkStart w:id="2108" w:name="Tc_IpElRcwK9kCtmAMaWIOfKQ_9_0"/>
      <w:bookmarkStart w:id="2109" w:name="Tc_dxSiovJAP0iy2VK6Tf7JVw_8_0"/>
      <w:bookmarkStart w:id="2110" w:name="Tc_JyTqy2PFskuzvsNF6AbedA_7_0"/>
      <w:bookmarkStart w:id="2111" w:name="Tc_93122tQDeEOY_MUSD86lOQ_6_0"/>
      <w:bookmarkStart w:id="2112" w:name="Tc_F0-XXzLn5UyLJyOaaJ1c5A_5_0"/>
      <w:bookmarkStart w:id="2113" w:name="Tc_4t-CRA9r2ECdsASEDWJ_Wg_4_0"/>
      <w:bookmarkStart w:id="2114" w:name="Tc_zHke0Eh6vkOYI12Ai2fWTw_3_8"/>
      <w:bookmarkStart w:id="2115" w:name="Tc_hk-kRjGl50614bZJ4Rly2w_3_6"/>
      <w:bookmarkStart w:id="2116" w:name="Tc_pyL6lDLV8UW2BGoiXEct7w_3_4"/>
      <w:bookmarkStart w:id="2117" w:name="Tc_Dnd1jiSlhUi5Gibxio4D0g_3_2"/>
      <w:bookmarkStart w:id="2118" w:name="Tc_S8KT_HZOnkejzLp9q58H_g_2_8"/>
      <w:bookmarkStart w:id="2119" w:name="Tc_iDi1zd0GjUGN7r9VgSYvLw_2_6"/>
      <w:bookmarkStart w:id="2120" w:name="Tc_qP_GGEXT6kKsXhXYFjTAxA_2_4"/>
      <w:bookmarkStart w:id="2121" w:name="Tc_tzLGWje1M0i_4ybjvP-0CQ_2_2"/>
      <w:bookmarkStart w:id="2122" w:name="Tc_imObXLU1I0SceT0xC1uQcg_1_6"/>
      <w:bookmarkStart w:id="2123" w:name="Tc_X4HK50OBkUy5ttcqHNHxLA_1_2"/>
      <w:bookmarkStart w:id="2124" w:name="_2f6653e1_5fa9_45a2_964d_f048cbf0eae3"/>
      <w:bookmarkStart w:id="2125" w:name="_8706ebe3_f518_4868_b9a3_989e2b91347c"/>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r>
        <w:rPr>
          <w:rFonts w:ascii="Times New Roman;Times;serif" w:hAnsi="Times New Roman;Times;serif"/>
          <w:b/>
          <w:sz w:val="20"/>
        </w:rPr>
        <w:t>14.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2021 and 2022, the changes in the carrying value of goodwill by segment are as follows:</w:t>
      </w:r>
    </w:p>
    <w:p>
      <w:pPr>
        <w:pStyle w:val="TextBody"/>
        <w:spacing w:before="0" w:after="0"/>
        <w:ind w:left="0" w:right="0" w:hanging="0"/>
        <w:rPr/>
      </w:pPr>
      <w:r>
        <w:rPr/>
        <w:t>​</w:t>
      </w:r>
    </w:p>
    <w:tbl>
      <w:tblPr>
        <w:tblW w:w="8959" w:type="dxa"/>
        <w:jc w:val="left"/>
        <w:tblInd w:w="0" w:type="dxa"/>
        <w:tblCellMar>
          <w:top w:w="0" w:type="dxa"/>
          <w:left w:w="0" w:type="dxa"/>
          <w:bottom w:w="0" w:type="dxa"/>
          <w:right w:w="0" w:type="dxa"/>
        </w:tblCellMar>
      </w:tblPr>
      <w:tblGrid>
        <w:gridCol w:w="3436"/>
        <w:gridCol w:w="326"/>
        <w:gridCol w:w="1036"/>
        <w:gridCol w:w="326"/>
        <w:gridCol w:w="1216"/>
        <w:gridCol w:w="326"/>
        <w:gridCol w:w="826"/>
        <w:gridCol w:w="326"/>
        <w:gridCol w:w="1141"/>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81860" cy="175260"/>
                      <wp:effectExtent l="0" t="0" r="0" b="0"/>
                      <wp:wrapNone/>
                      <wp:docPr id="575" name="Frame568"/>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6"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57860" cy="175260"/>
                      <wp:effectExtent l="0" t="0" r="0" b="0"/>
                      <wp:wrapNone/>
                      <wp:docPr id="577" name="Frame57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8" name="Frame5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772160" cy="175260"/>
                      <wp:effectExtent l="0" t="0" r="0" b="0"/>
                      <wp:wrapNone/>
                      <wp:docPr id="579" name="Frame572"/>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0" name="Frame5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24510" cy="175260"/>
                      <wp:effectExtent l="0" t="0" r="0" b="0"/>
                      <wp:wrapNone/>
                      <wp:docPr id="581" name="Frame574"/>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2" name="Frame5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24535" cy="175260"/>
                      <wp:effectExtent l="0" t="0" r="0" b="0"/>
                      <wp:wrapNone/>
                      <wp:docPr id="583" name="Frame57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China</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Mobility</w:t>
            </w:r>
            <w:r>
              <w:rPr>
                <w:rFonts w:ascii="Times New Roman;Times;serif" w:hAnsi="Times New Roman;Times;serif"/>
                <w:b/>
                <w:sz w:val="12"/>
              </w:rPr>
              <w:t>(i)</w:t>
            </w:r>
          </w:p>
        </w:tc>
        <w:tc>
          <w:tcPr>
            <w:tcW w:w="326" w:type="dxa"/>
            <w:tcBorders/>
            <w:shd w:fill="auto" w:val="clear"/>
            <w:vAlign w:val="center"/>
          </w:tcPr>
          <w:p>
            <w:pPr>
              <w:pStyle w:val="TableContents"/>
              <w:spacing w:before="0" w:after="1"/>
              <w:ind w:left="0" w:right="0" w:hanging="0"/>
              <w:jc w:val="center"/>
              <w:rPr/>
            </w:pPr>
            <w:r>
              <w:rPr/>
              <w:t>    </w:t>
            </w:r>
          </w:p>
        </w:tc>
        <w:tc>
          <w:tcPr>
            <w:tcW w:w="1216"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International</w:t>
            </w:r>
            <w:r>
              <w:rPr>
                <w:rFonts w:ascii="Times New Roman;Times;serif" w:hAnsi="Times New Roman;Times;serif"/>
                <w:b/>
                <w:sz w:val="12"/>
              </w:rPr>
              <w:t>(ii)</w:t>
            </w:r>
          </w:p>
        </w:tc>
        <w:tc>
          <w:tcPr>
            <w:tcW w:w="326" w:type="dxa"/>
            <w:tcBorders/>
            <w:shd w:fill="auto" w:val="clear"/>
            <w:vAlign w:val="center"/>
          </w:tcPr>
          <w:p>
            <w:pPr>
              <w:pStyle w:val="TableContents"/>
              <w:spacing w:before="0" w:after="1"/>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Initiatives</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January 1, 2020</w:t>
            </w:r>
          </w:p>
        </w:tc>
        <w:tc>
          <w:tcPr>
            <w:tcW w:w="326" w:type="dxa"/>
            <w:tcBorders/>
            <w:shd w:fill="CCEEFF" w:val="clear"/>
            <w:vAlign w:val="center"/>
          </w:tcPr>
          <w:p>
            <w:pPr>
              <w:pStyle w:val="TableContents"/>
              <w:spacing w:before="0" w:after="1"/>
              <w:ind w:left="0" w:right="0" w:hanging="0"/>
              <w:jc w:val="center"/>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CCEEFF" w:val="clear"/>
            <w:vAlign w:val="center"/>
          </w:tcPr>
          <w:p>
            <w:pPr>
              <w:pStyle w:val="TableContents"/>
              <w:spacing w:before="0" w:after="1"/>
              <w:ind w:left="0" w:right="0" w:hanging="0"/>
              <w:jc w:val="center"/>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3,785,659</w:t>
            </w:r>
          </w:p>
        </w:tc>
        <w:tc>
          <w:tcPr>
            <w:tcW w:w="326" w:type="dxa"/>
            <w:tcBorders/>
            <w:shd w:fill="CCEEFF" w:val="clear"/>
            <w:vAlign w:val="center"/>
          </w:tcPr>
          <w:p>
            <w:pPr>
              <w:pStyle w:val="TableContents"/>
              <w:spacing w:before="0" w:after="1"/>
              <w:ind w:left="0" w:right="0" w:hanging="0"/>
              <w:jc w:val="center"/>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CCEEFF" w:val="clear"/>
            <w:vAlign w:val="center"/>
          </w:tcPr>
          <w:p>
            <w:pPr>
              <w:pStyle w:val="TableContents"/>
              <w:spacing w:before="0" w:after="1"/>
              <w:ind w:left="0" w:right="0" w:hanging="0"/>
              <w:jc w:val="center"/>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50,163,242</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(1,039,070)</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(1,039,070)</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2020</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2,746,589</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49,124,172</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(2,492,826)</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(2,492,826)</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(253,763)</w:t>
            </w:r>
          </w:p>
        </w:tc>
        <w:tc>
          <w:tcPr>
            <w:tcW w:w="326" w:type="dxa"/>
            <w:tcBorders/>
            <w:shd w:fill="CCEEFF" w:val="clear"/>
            <w:vAlign w:val="center"/>
          </w:tcPr>
          <w:p>
            <w:pPr>
              <w:pStyle w:val="TableContents"/>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(253,763)</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auto" w:val="clear"/>
            <w:vAlign w:val="center"/>
          </w:tcPr>
          <w:p>
            <w:pPr>
              <w:pStyle w:val="TableContents"/>
              <w:spacing w:before="0" w:after="1"/>
              <w:ind w:left="0" w:right="0" w:hanging="0"/>
              <w:jc w:val="right"/>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auto" w:val="clear"/>
            <w:vAlign w:val="center"/>
          </w:tcPr>
          <w:p>
            <w:pPr>
              <w:pStyle w:val="TableContents"/>
              <w:spacing w:before="0" w:after="1"/>
              <w:ind w:left="0" w:right="0" w:hanging="0"/>
              <w:jc w:val="right"/>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46,377,583</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46,283,879</w:t>
            </w:r>
          </w:p>
        </w:tc>
        <w:tc>
          <w:tcPr>
            <w:tcW w:w="326" w:type="dxa"/>
            <w:tcBorders/>
            <w:shd w:fill="CCEEFF" w:val="clear"/>
            <w:vAlign w:val="center"/>
          </w:tcPr>
          <w:p>
            <w:pPr>
              <w:pStyle w:val="TableContents"/>
              <w:spacing w:before="0" w:after="1"/>
              <w:ind w:left="0" w:right="0" w:hanging="0"/>
              <w:jc w:val="right"/>
              <w:rPr/>
            </w:pPr>
            <w:r>
              <w:rPr/>
              <w:t> </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93,704</w:t>
            </w:r>
          </w:p>
        </w:tc>
        <w:tc>
          <w:tcPr>
            <w:tcW w:w="326" w:type="dxa"/>
            <w:tcBorders/>
            <w:shd w:fill="CCEEFF" w:val="clear"/>
            <w:vAlign w:val="center"/>
          </w:tcPr>
          <w:p>
            <w:pPr>
              <w:pStyle w:val="TableContents"/>
              <w:spacing w:before="0" w:after="1"/>
              <w:ind w:left="0" w:right="0" w:hanging="0"/>
              <w:jc w:val="right"/>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46,377,583</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similar economic characteristics shared among different components within China Mobility, the Group determined that China mobility is a single reporting unit in goodwill impairment analysis.</w:t>
            </w:r>
          </w:p>
        </w:tc>
      </w:tr>
    </w:tbl>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Group performed qualitative impairment assessments for the goodwill arising from the acquisition of Kuaidi and Uber China in China Mobility and concluded that there was no impairment for the goodwill as of December 31, 2020.</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00"/>
        <w:ind w:left="0" w:right="0" w:hanging="0"/>
        <w:rPr>
          <w:rFonts w:ascii="Times New Roman;Times;serif" w:hAnsi="Times New Roman;Times;serif"/>
          <w:b/>
          <w:sz w:val="20"/>
        </w:rPr>
      </w:pPr>
      <w:bookmarkStart w:id="2126" w:name="_Hlk102158455"/>
      <w:bookmarkEnd w:id="2126"/>
      <w:r>
        <w:rPr>
          <w:rFonts w:ascii="Times New Roman;Times;serif" w:hAnsi="Times New Roman;Times;serif"/>
          <w:b/>
          <w:sz w:val="20"/>
        </w:rPr>
        <w:t>14. Goodwill (Continued)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Considering the adverse change in the operating and financial performance of China Mobility, the Group determined that a quantitative assessment was required at December 31, 2021. The Group compared the fair value to the carrying amount of China Mobility in the impairment test. The Group estimated the fair value by using the income approach, which considered a number of factors, including expected future cash flows and discount rate. Expected future cash flows are dependent on certain key assumptions including compound annual growth rate of revenue. These factors are subject to high degree of judgment and complexity. Based on the quantitative assessment results, the fair value of China Mobility exceeded its carrying amount by more than 30% as of December 31, 2021. In order to assess the impact of changes in certain significant inputs, the Group performed a sensitivity analysis decreasing the annual growth rate and increasing the discount rate by 1%. This analysis still resulted in the fair value of China Mobility exceeding its carrying amount by a sufficient amount. Therefore, the Group concluded that there was no impairment of goodwill as of December 31, 2021.</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A sustained decrease in ADSs price quoted in OTC Pink was considered an indicator requiring an interim goodwill quantitative impairment test on the reporting unit of China Mobility as of September 30, 2022. The Group compared the fair value to the carrying amount of China Mobility in the impairment test. The Group estimated the fair value by using the income approach, which considered a number of factors, including expected future cash flows and discount rate. Expected future cash flows are dependent on certain key assumptions including compound annual growth rate of revenue and profit margins. Based on the quantitative assessment results, the fair value of China Mobility exceeded its carrying amount as of September 30, 2022. In order to assess the impact of changes in certain significant inputs, the Group performed a sensitivity analysis decreasing the annual growth rate and increasing the discount rate by 1%. This analysis still resulted in the fair value of China Mobility exceeding its carrying amount. Therefore, the Group concluded that there was no impairment of goodwill as of September 30, 2022.</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Group performed a qualitative impairment assessment for the goodwill in China Mobility at the year end of 2022 and concluded that there was no impairment for the goodwill as of December 31, 2022.</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(ii)</w:t>
            </w:r>
          </w:p>
        </w:tc>
        <w:tc>
          <w:tcPr>
            <w:tcW w:w="9890"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The Group performed a qualitative impairment assessment for the goodwill arising from the acquisition of 99 Taxis in International. As the global COVID-19 pandemic has increased the uncertainty on the ride hailing services in overseas countries, the Group performed a quantitative analysis on the reporting unit of 99 Taxis and concluded that there was no impairment of goodwill based on the quantitative assessment results as of December 31, 2020.</w:t>
            </w:r>
          </w:p>
        </w:tc>
      </w:tr>
    </w:tbl>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Due to the longer-term trajectory of COVID-19 pandemic and complex and volatile market environment in Brazil, the Group performed a quantitative analysis on 99 Taxis as of December 31, 2021. The Group estimated the fair value by using the income approach, which considered a number of factors, including expected future cash flows and discount rate. Expected future cash flows are dependent on certain key assumptions including compound annual growth rate of revenue. Based on the quantitative assessment results, the fair value of the reporting unit was below its carrying amount as of December 31, 2021. Therefore, the Group fully impaired goodwill and intangible assets with the amount of RMB2,501,100 and RMB288,221, respectively for the year ended December 31, 2021.</w:t>
      </w:r>
    </w:p>
    <w:p>
      <w:pPr>
        <w:pStyle w:val="TextBody"/>
        <w:spacing w:before="0" w:after="200"/>
        <w:ind w:left="0" w:right="0" w:hanging="0"/>
        <w:rPr>
          <w:rFonts w:ascii="Times New Roman;Times;serif" w:hAnsi="Times New Roman;Times;serif"/>
          <w:b/>
          <w:sz w:val="20"/>
        </w:rPr>
      </w:pPr>
      <w:bookmarkStart w:id="2127" w:name="Tc_a2KZXt5TS02nG4EML9Aglw_7_0"/>
      <w:bookmarkStart w:id="2128" w:name="Tc_JL2XQFUUIUiwc4Lrgqz7AA_6_0"/>
      <w:bookmarkStart w:id="2129" w:name="Tc_UyQXR4LxrEmL4axsJHGZfA_5_0"/>
      <w:bookmarkStart w:id="2130" w:name="Tc_ArfrJJjGjE2fQgK7kqKnMw_3_4"/>
      <w:bookmarkStart w:id="2131" w:name="Tc_C4NKZ6nbKEiWHiWy6m-wHQ_3_2"/>
      <w:bookmarkStart w:id="2132" w:name="Tc_Yk2ZUZ9doUWvkJzI_CoBLw_2_4"/>
      <w:bookmarkStart w:id="2133" w:name="Tc_tFrhtZ2XWUKboE6uJeMxJg_2_2"/>
      <w:bookmarkStart w:id="2134" w:name="Tc_8JbFyoic50iFjpUBJTr5kg_1_2"/>
      <w:bookmarkEnd w:id="2127"/>
      <w:bookmarkEnd w:id="2128"/>
      <w:bookmarkEnd w:id="2129"/>
      <w:bookmarkEnd w:id="2130"/>
      <w:bookmarkEnd w:id="2131"/>
      <w:bookmarkEnd w:id="2132"/>
      <w:bookmarkEnd w:id="2133"/>
      <w:bookmarkEnd w:id="2134"/>
      <w:r>
        <w:rPr>
          <w:rFonts w:ascii="Times New Roman;Times;serif" w:hAnsi="Times New Roman;Times;serif"/>
          <w:b/>
          <w:sz w:val="20"/>
        </w:rPr>
        <w:t>15. Borrowings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Short-term and long-term borrowings consist of the followings:</w:t>
      </w:r>
    </w:p>
    <w:p>
      <w:pPr>
        <w:pStyle w:val="TextBody"/>
        <w:spacing w:before="0" w:after="240"/>
        <w:ind w:left="0" w:right="0" w:firstLine="720"/>
        <w:rPr/>
      </w:pPr>
      <w:r>
        <w:rPr/>
        <w:t>​</w:t>
      </w:r>
    </w:p>
    <w:tbl>
      <w:tblPr>
        <w:tblW w:w="4555" w:type="dxa"/>
        <w:jc w:val="left"/>
        <w:tblInd w:w="0" w:type="dxa"/>
        <w:tblCellMar>
          <w:top w:w="0" w:type="dxa"/>
          <w:left w:w="0" w:type="dxa"/>
          <w:bottom w:w="0" w:type="dxa"/>
          <w:right w:w="0" w:type="dxa"/>
        </w:tblCellMar>
      </w:tblPr>
      <w:tblGrid>
        <w:gridCol w:w="1936"/>
        <w:gridCol w:w="326"/>
        <w:gridCol w:w="931"/>
        <w:gridCol w:w="326"/>
        <w:gridCol w:w="1036"/>
      </w:tblGrid>
      <w:tr>
        <w:trPr/>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229360" cy="175260"/>
                      <wp:effectExtent l="0" t="0" r="0" b="0"/>
                      <wp:wrapNone/>
                      <wp:docPr id="584" name="Frame577"/>
                      <a:graphic xmlns:a="http://schemas.openxmlformats.org/drawingml/2006/main">
                        <a:graphicData uri="http://schemas.microsoft.com/office/word/2010/wordprocessingShape">
                          <wps:wsp>
                            <wps:cNvSpPr txBox="1"/>
                            <wps:spPr>
                              <a:xfrm>
                                <a:off x="0" y="0"/>
                                <a:ext cx="1229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5" name="Frame5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91185" cy="175260"/>
                      <wp:effectExtent l="0" t="0" r="0" b="0"/>
                      <wp:wrapNone/>
                      <wp:docPr id="586" name="Frame57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7" name="Frame5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57860" cy="175260"/>
                      <wp:effectExtent l="0" t="0" r="0" b="0"/>
                      <wp:wrapNone/>
                      <wp:docPr id="588" name="Frame58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w:t>
              <w:noBreakHyphen/>
              <w:t>term borrowings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6,838,328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4,940,310</w: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w:t>
              <w:noBreakHyphen/>
              <w:t>term borrowings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1,681,370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149,925</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8,519,698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5,090,235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135" w:name="Tc_DR4-dMB1dUC2Pm-E1wIwCQ_8_0"/>
      <w:bookmarkStart w:id="2136" w:name="Tc_lj_e7ctp1Eesgx7vCMJIYw_7_0"/>
      <w:bookmarkStart w:id="2137" w:name="Tc_gIbV42F64UyvNHiddvuV2w_6_0"/>
      <w:bookmarkStart w:id="2138" w:name="Tc_ZOWWvaAvrkONvvAVgaW1PA_5_0"/>
      <w:bookmarkStart w:id="2139" w:name="Tc_lx9Z-BcxzEiQPIg_A5iJ5Q_3_4"/>
      <w:bookmarkStart w:id="2140" w:name="Tc_3E_a-BiMuUCdllbThvyamA_3_2"/>
      <w:bookmarkStart w:id="2141" w:name="Tc_YJZ5Do606UKJdJgASnivnA_2_4"/>
      <w:bookmarkStart w:id="2142" w:name="Tc_Rvy3k4_5w0u--daUx63PzA_2_2"/>
      <w:bookmarkStart w:id="2143" w:name="Tc_XwA7GmtpxUGiiUEZssNn9A_1_2"/>
      <w:bookmarkStart w:id="2144" w:name="_4fdb2e86_f7ca_43d4_9e64_c60ab48beb6f"/>
      <w:bookmarkEnd w:id="2135"/>
      <w:bookmarkEnd w:id="2136"/>
      <w:bookmarkEnd w:id="2137"/>
      <w:bookmarkEnd w:id="2138"/>
      <w:bookmarkEnd w:id="2139"/>
      <w:bookmarkEnd w:id="2140"/>
      <w:bookmarkEnd w:id="2141"/>
      <w:bookmarkEnd w:id="2142"/>
      <w:bookmarkEnd w:id="2143"/>
      <w:bookmarkEnd w:id="2144"/>
      <w:r>
        <w:rPr>
          <w:rFonts w:ascii="Times New Roman;Times;serif" w:hAnsi="Times New Roman;Times;serif"/>
          <w:b/>
          <w:sz w:val="20"/>
        </w:rPr>
        <w:t>15. Borrowings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Short-term borrowings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the Group, through its subsidiary, issued three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asset-backed securitized debts, totalling </w:t>
      </w:r>
      <w:r>
        <w:rPr>
          <w:rFonts w:ascii="Times New Roman;Times;serif" w:hAnsi="Times New Roman;Times;serif"/>
          <w:sz w:val="20"/>
          <w:highlight w:val="white"/>
        </w:rPr>
        <w:t>RMB1,275,000</w:t>
      </w:r>
      <w:r>
        <w:rPr>
          <w:rFonts w:ascii="Times New Roman;Times;serif" w:hAnsi="Times New Roman;Times;serif"/>
          <w:sz w:val="20"/>
        </w:rPr>
        <w:t xml:space="preserve"> via certain securitization vehicles in the forms of asset backed security arrangement (the “ABSs”) established by the Group. The ABSs vehicle is considered as variable interest entities under ASC 810. As the Group has power to direct the activities that most significantly impact economic performance of the ABSs vehicle by providing the loan servicing and default loan collection services, and the Group has the obligation to absorb losses or the right to receive benefits from the VIE that could potentially be significant to the VIE as the Group purchased all subordinated tranche securities, and the Group is obligated to bear the risk arising from any loans that are delinquent for more than certain days, accordingly, the Group is considered the primary beneficiary of the ABSs and has consolidated the ABSs’ assets, liabilities, results of operations, and cash flows in the Group’s consolidated financial statements in accordance with ASC 810. Therefore, loans funded by the asset-backed securitized debts remain at the Group and are recorded as “loans receivable, net” on the consolidated balance sheets. As of December 31, 2021 and 2022, the balance of the ABSs amounted to RMB629,013 and nil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short-term borrowings were RMB dominated borrowings by the Group’s subsidiaries from financial institutions in the PRC and were pledged by vehicles and short-term investments or guaranteed by the subsidiaries of the Group. The weighted average interest rate for short-term borrowings as of December 31, 2021 and 2022 were approximately 3% </w:t>
      </w:r>
      <w:r>
        <w:rPr>
          <w:rFonts w:ascii="Times New Roman;Times;serif" w:hAnsi="Times New Roman;Times;serif"/>
          <w:sz w:val="20"/>
          <w:highlight w:val="white"/>
        </w:rPr>
        <w:t>and 3%,</w:t>
      </w:r>
      <w:r>
        <w:rPr>
          <w:rFonts w:ascii="Times New Roman;Times;serif" w:hAnsi="Times New Roman;Times;serif"/>
          <w:sz w:val="20"/>
        </w:rPr>
        <w:t xml:space="preserve"> respectively.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Long-term borrowings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entered several borrowing agreements with credit facilities with banks, which allowed the Group to draw borrowings up to RMB 11,616,192 and RMB171,161 from these facilities as of December 31, 2021 and 2022. The borrowings drawn from these facilities bear annual interest rate of Loan Prime Rate (“LPR”) plus 30 to 180 points and were guaranteed by certain subsidiaries of the Group. The unused credit limits under these facilities was RMB60,448 as of December 31, 2022. In March 2022, the facilities amount of RMB11,380,380 under a revolving credit facility agreement was cancelled without any previous drawn down.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also entered into several borrowing agreements with certain banks and financial institutions pursuant to which the outstanding borrowings balance was RMB585,814 and RMB39,212 as of December 31, 2021 and 2022, respectively. These borrowings are guaranteed by certain subsidiaries of the Group or pledged by vehicles owned by the Group’s subsidiaries and bear interest at a range of 4%-7% per annum.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short-term and long-term borrowings will be due according to the following schedule:</w:t>
      </w:r>
    </w:p>
    <w:p>
      <w:pPr>
        <w:pStyle w:val="TextBody"/>
        <w:spacing w:before="0" w:after="0"/>
        <w:ind w:left="0" w:right="0" w:hanging="0"/>
        <w:rPr/>
      </w:pPr>
      <w:r>
        <w:rPr/>
        <w:t>​</w:t>
      </w:r>
    </w:p>
    <w:tbl>
      <w:tblPr>
        <w:tblW w:w="4420" w:type="dxa"/>
        <w:jc w:val="left"/>
        <w:tblInd w:w="0" w:type="dxa"/>
        <w:tblCellMar>
          <w:top w:w="0" w:type="dxa"/>
          <w:left w:w="0" w:type="dxa"/>
          <w:bottom w:w="0" w:type="dxa"/>
          <w:right w:w="0" w:type="dxa"/>
        </w:tblCellMar>
      </w:tblPr>
      <w:tblGrid>
        <w:gridCol w:w="1801"/>
        <w:gridCol w:w="326"/>
        <w:gridCol w:w="931"/>
        <w:gridCol w:w="326"/>
        <w:gridCol w:w="1036"/>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143635" cy="175260"/>
                      <wp:effectExtent l="0" t="0" r="0" b="0"/>
                      <wp:wrapNone/>
                      <wp:docPr id="589" name="Frame582"/>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90"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91185" cy="175260"/>
                      <wp:effectExtent l="0" t="0" r="0" b="0"/>
                      <wp:wrapNone/>
                      <wp:docPr id="591" name="Frame5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2" name="Frame5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57860" cy="175260"/>
                      <wp:effectExtent l="0" t="0" r="0" b="0"/>
                      <wp:wrapNone/>
                      <wp:docPr id="593" name="Frame58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Within 1 year</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6,838,328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4,940,310</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Between 1 to 2 years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1,567,890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142,625</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Between 2 to 3 years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113,480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8,519,698</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5,090,235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145" w:name="Tc_dNTO6lu-Q0e4kgW-7cHM4A_9_0"/>
      <w:bookmarkStart w:id="2146" w:name="Tc_R7-HDRjtxEWuRF9CWyjm7g_8_0"/>
      <w:bookmarkStart w:id="2147" w:name="Tc_DVttg8KAtkObyK3bfw39VQ_7_0"/>
      <w:bookmarkStart w:id="2148" w:name="Tc_Ux5oIx0s9EG7BT6NixwRRQ_6_0"/>
      <w:bookmarkStart w:id="2149" w:name="Tc_KDk__sivM025Ry-pu9YH0g_5_0"/>
      <w:bookmarkStart w:id="2150" w:name="Tc_UtlgoUlRT0aWlpyLaB-Xcw_3_4"/>
      <w:bookmarkStart w:id="2151" w:name="Tc_w9bjtIpIjEmksXZmV14mnw_3_2"/>
      <w:bookmarkStart w:id="2152" w:name="Tc_CC5p2aiB_Emlpc6l9n7nKA_2_4"/>
      <w:bookmarkStart w:id="2153" w:name="Tc_hGQnbc6sxEiEc2taVoM3rg_2_2"/>
      <w:bookmarkStart w:id="2154" w:name="Tc_q9GMa5Rym0W8BO4oINybnw_1_2"/>
      <w:bookmarkEnd w:id="2145"/>
      <w:bookmarkEnd w:id="2146"/>
      <w:bookmarkEnd w:id="2147"/>
      <w:bookmarkEnd w:id="2148"/>
      <w:bookmarkEnd w:id="2149"/>
      <w:bookmarkEnd w:id="2150"/>
      <w:bookmarkEnd w:id="2151"/>
      <w:bookmarkEnd w:id="2152"/>
      <w:bookmarkEnd w:id="2153"/>
      <w:bookmarkEnd w:id="2154"/>
      <w:r>
        <w:rPr>
          <w:rFonts w:ascii="Times New Roman;Times;serif" w:hAnsi="Times New Roman;Times;serif"/>
          <w:b/>
          <w:sz w:val="20"/>
        </w:rPr>
        <w:t>16. Accounts and notes payable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and notes payable consist of the following:</w:t>
      </w:r>
    </w:p>
    <w:p>
      <w:pPr>
        <w:pStyle w:val="TextBody"/>
        <w:spacing w:before="0" w:after="0"/>
        <w:ind w:left="0" w:right="0" w:hanging="0"/>
        <w:rPr/>
      </w:pPr>
      <w:r>
        <w:rPr/>
        <w:t>​</w:t>
      </w:r>
    </w:p>
    <w:tbl>
      <w:tblPr>
        <w:tblW w:w="7285" w:type="dxa"/>
        <w:jc w:val="left"/>
        <w:tblInd w:w="0" w:type="dxa"/>
        <w:tblCellMar>
          <w:top w:w="0" w:type="dxa"/>
          <w:left w:w="0" w:type="dxa"/>
          <w:bottom w:w="0" w:type="dxa"/>
          <w:right w:w="0" w:type="dxa"/>
        </w:tblCellMar>
      </w:tblPr>
      <w:tblGrid>
        <w:gridCol w:w="4666"/>
        <w:gridCol w:w="326"/>
        <w:gridCol w:w="931"/>
        <w:gridCol w:w="326"/>
        <w:gridCol w:w="1036"/>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962910" cy="175260"/>
                      <wp:effectExtent l="0" t="0" r="0" b="0"/>
                      <wp:wrapNone/>
                      <wp:docPr id="594" name="Frame587"/>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5" name="Frame5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91185" cy="175260"/>
                      <wp:effectExtent l="0" t="0" r="0" b="0"/>
                      <wp:wrapNone/>
                      <wp:docPr id="596" name="Frame58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7" name="Frame5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57860" cy="175260"/>
                      <wp:effectExtent l="0" t="0" r="0" b="0"/>
                      <wp:wrapNone/>
                      <wp:docPr id="598" name="Frame59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related to service fees and incentives to drivers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3,306,362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2,465,919</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related to driver management fees</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157,421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155,279</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accounts payable</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439,707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204,124</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Notes payable</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721,463</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44,724</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4,624,953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2,870,046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2155" w:name="Tc_91Os6Y7BvU-oIZajfwW84w_14_0"/>
      <w:bookmarkStart w:id="2156" w:name="Tc_y_GZwSAgwUKuQ9wgEUdnMg_13_0"/>
      <w:bookmarkStart w:id="2157" w:name="Tc_jpEqif7pU0GHNozbW2qKtw_12_0"/>
      <w:bookmarkStart w:id="2158" w:name="Tc_o8pLFyx8V02HklgIhU2sug_11_0"/>
      <w:bookmarkStart w:id="2159" w:name="Tc_nFRfkz3h20eVAADLm2_t8Q_10_0"/>
      <w:bookmarkStart w:id="2160" w:name="Tc_gi3plBEEYEiTkd4CO2m7Pw_9_0"/>
      <w:bookmarkStart w:id="2161" w:name="Tc__nmwHBlYoUaTqsvb0OU5Lg_8_0"/>
      <w:bookmarkStart w:id="2162" w:name="Tc_BdG96TQub0-3u_oHLqswaw_7_0"/>
      <w:bookmarkStart w:id="2163" w:name="Tc_3DSbeiJh70SnvDA8WxiPRg_6_0"/>
      <w:bookmarkStart w:id="2164" w:name="Tc_4tsjwopm7UudR4WH4AOOCg_5_0"/>
      <w:bookmarkStart w:id="2165" w:name="Tc_37AQO-H72EOdVK1xCsVlEg_3_4"/>
      <w:bookmarkStart w:id="2166" w:name="Tc_wf98vIpmBkOVeM_SRNgt-A_3_2"/>
      <w:bookmarkStart w:id="2167" w:name="Tc_aj5C9Szk2EqxT-EX7pku7Q_2_4"/>
      <w:bookmarkStart w:id="2168" w:name="Tc_e5Ro9Fy4a0KXZjOK-5O2CA_2_2"/>
      <w:bookmarkStart w:id="2169" w:name="Tc_1wBaGGC1LkKNQZp7R8qbWg_1_2"/>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r>
        <w:rPr>
          <w:rFonts w:ascii="Times New Roman;Times;serif" w:hAnsi="Times New Roman;Times;serif"/>
          <w:b/>
          <w:sz w:val="20"/>
        </w:rPr>
        <w:t>17. Accrued expenses and other current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Accrued expenses and other current liabilities consist of the following:</w:t>
      </w:r>
    </w:p>
    <w:p>
      <w:pPr>
        <w:pStyle w:val="TextBody"/>
        <w:spacing w:before="0" w:after="0"/>
        <w:ind w:left="0" w:right="0" w:hanging="0"/>
        <w:rPr/>
      </w:pPr>
      <w:r>
        <w:rPr/>
        <w:t>​</w:t>
      </w:r>
    </w:p>
    <w:tbl>
      <w:tblPr>
        <w:tblW w:w="7105" w:type="dxa"/>
        <w:jc w:val="left"/>
        <w:tblInd w:w="0" w:type="dxa"/>
        <w:tblCellMar>
          <w:top w:w="0" w:type="dxa"/>
          <w:left w:w="0" w:type="dxa"/>
          <w:bottom w:w="0" w:type="dxa"/>
          <w:right w:w="0" w:type="dxa"/>
        </w:tblCellMar>
      </w:tblPr>
      <w:tblGrid>
        <w:gridCol w:w="4276"/>
        <w:gridCol w:w="326"/>
        <w:gridCol w:w="1036"/>
        <w:gridCol w:w="326"/>
        <w:gridCol w:w="1141"/>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715260" cy="175260"/>
                      <wp:effectExtent l="0" t="0" r="0" b="0"/>
                      <wp:wrapNone/>
                      <wp:docPr id="599" name="Frame592"/>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0" name="Frame5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57860" cy="175260"/>
                      <wp:effectExtent l="0" t="0" r="0" b="0"/>
                      <wp:wrapNone/>
                      <wp:docPr id="601" name="Frame59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2" name="Frame5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724535" cy="175260"/>
                      <wp:effectExtent l="0" t="0" r="0" b="0"/>
                      <wp:wrapNone/>
                      <wp:docPr id="603" name="Frame59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to merchants and other partners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1,664,684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2,319,245</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Employee compensation and welfare payables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2,253,437</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1,821,969</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1,422,300</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1,385,424</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payables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1,645,335</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1,127,818</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related to property and equipment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358,464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298,550</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related to service fees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883,770</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803,267</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related to market and promotion expenses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842,558</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814,186</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and accruals for other costs and expenses</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1,347,077</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1,420,875</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1,229,597</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1,158,587</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11,647,222</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11,149,921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Segment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segments are reported in a manner consistent with the internal reporting provided to the chief operating decision maker (“CODM”). The chief operating decision maker, who is responsible for allocating resources and assessing performance of the operating segments, has been identified as certain members of the Group’s management team, including the chief executive officer (“CEO”).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operates in three operating segments: (i) China Mobility; (ii) International; (iii) Other Initiatives. The following summary describes the operations in each of the Group’s reportable segments: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Mobility: China Mobility segment mainly includes (i) The Group acts as the principal in providing ride hailing services to riders; (ii) The Group acts as an agent by connecting end-users to service providers who provide taxi hailing, chauffeur and other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International segment includes ride hailing services and food delivery services offered in international markets.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170" w:name="Tc_0OsVmEmRYUi4tXhrWpRWnw_17_0"/>
      <w:bookmarkStart w:id="2171" w:name="Tc_WemhhlyeKkaByk0PwrSAPw_16_6"/>
      <w:bookmarkStart w:id="2172" w:name="Tc_6qLjGV4Zd0GkP0WNBGJ5Lg_16_2"/>
      <w:bookmarkStart w:id="2173" w:name="Tc_zsYOmSEwQEGCl6z-ARrK0Q_16_0"/>
      <w:bookmarkStart w:id="2174" w:name="Tc_Vvcg3IZz3UyC_WEaEp3NAA_15_0"/>
      <w:bookmarkStart w:id="2175" w:name="Tc_w4aAdDNZIE-q7gnzxEE4uQ_14_0"/>
      <w:bookmarkStart w:id="2176" w:name="Tc_ov-mpWd2eU2n5fe0Yv3Usg_13_0"/>
      <w:bookmarkStart w:id="2177" w:name="Tc_GKjWwqqlNEaYS4GQ42PzLw_12_0"/>
      <w:bookmarkStart w:id="2178" w:name="Tc_3rY1VUFlyk6OmAXPe7GVvw_11_0"/>
      <w:bookmarkStart w:id="2179" w:name="Tc_YEDAFtgyX0aj2fRY0JTheQ_10_0"/>
      <w:bookmarkStart w:id="2180" w:name="Tc_7Se0eMgEmUO7yk_UA0gksQ_9_0"/>
      <w:bookmarkStart w:id="2181" w:name="Tc_cIwQCPNGA0GSUIWTsei4Nw_8_0"/>
      <w:bookmarkStart w:id="2182" w:name="Tc_9nqTe8RzlU-4kA1gSxijwA_7_0"/>
      <w:bookmarkStart w:id="2183" w:name="Tc_kWIneRp3vkCYt2H-lYXSGw_6_0"/>
      <w:bookmarkStart w:id="2184" w:name="Tc_P1OpamAvHk-4APlTm_y0zg_5_0"/>
      <w:bookmarkStart w:id="2185" w:name="Tc_L6qmYagyDkyVKmDJaYoSTw_4_0"/>
      <w:bookmarkStart w:id="2186" w:name="Tc_pAnMIzE_u0WnlLZc4TFl7w_3_6"/>
      <w:bookmarkStart w:id="2187" w:name="Tc_GD4-jfXgEUGAjQvYiQO1YQ_3_4"/>
      <w:bookmarkStart w:id="2188" w:name="Tc_4Cnz87_f90ykJdv3GM6MfQ_3_2"/>
      <w:bookmarkStart w:id="2189" w:name="Tc_B91Sfc_HaketUDM5pjtAmw_2_6"/>
      <w:bookmarkStart w:id="2190" w:name="Tc_ybGy4mjzVEmB_Xxjz3xa1A_2_4"/>
      <w:bookmarkStart w:id="2191" w:name="Tc_HuC7s4sSk0m4ezv17tBdNA_2_2"/>
      <w:bookmarkStart w:id="2192" w:name="Tc_b-omgg_fdEOirFUS4KgVRA_1_2"/>
      <w:bookmarkStart w:id="2193" w:name="_4657b4cb_54d2_417b_88bb_bfba4bfe3c0c"/>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r>
        <w:rPr>
          <w:rFonts w:ascii="Times New Roman;Times;serif" w:hAnsi="Times New Roman;Times;serif"/>
          <w:b/>
          <w:sz w:val="20"/>
        </w:rPr>
        <w:t>18. Segment reporting (Continued)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Initiatives: Other Initiatives mainly consist of bike and e-bike sharing, certain energy and vehicle services, intra-city freight, autonomous driving, financial services, etc.</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does not include inter-company transactions between segments for management reporting purposes. In general, revenues, cost of revenues and operating expenses are directly attributable, or are allocated, to each segment. The Group allocates costs and expenses that are not directly attributable to a specific segment, such as those that support infrastructure across different segments, to different segments mainly on the basis of usage or headcount, depending on the nature of the relevant costs and expenses. The Group currently does not allocate the assets to its segments, as its CODM does not use such information to allocate resources or evaluate the performance of the operating segments. The Group currently does not allocate other long-lived assets to the geographic operations as substantially all of the Group’s long-lived assets are located in the PRC. In addition, substantially all of the Group’s revenue is derived from the PRC, therefore, no geographical information is presented.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Group’s segment operating performance measure is segment Adjusted EBITA, which represents net income or loss before (a) certain non-cash expenses, consisting of share-based compensation expenses, amortization of intangible assets, and impairment of goodwill and intangible assets acquired from business combination, which are not reflective of the Group’s core operating performance, and (b) interest income, interest expenses, investment income (loss), net, impairment loss for equity investments accounted for using Measurement Alternative, income (loss) from equity method investments, net, other income (loss), net, and income tax benefits (expenses). The following table presents information about Adjusted EBITA and a reconciliation from the segment Adjusted EBITA to total consolidated loss from operations for the years ended December 31, 2020, 2021 and 2022:</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084"/>
        <w:gridCol w:w="326"/>
        <w:gridCol w:w="1152"/>
        <w:gridCol w:w="146"/>
        <w:gridCol w:w="1152"/>
        <w:gridCol w:w="146"/>
        <w:gridCol w:w="1199"/>
      </w:tblGrid>
      <w:tr>
        <w:trPr/>
        <w:tc>
          <w:tcPr>
            <w:tcW w:w="60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863340" cy="175260"/>
                      <wp:effectExtent l="0" t="0" r="0" b="0"/>
                      <wp:wrapNone/>
                      <wp:docPr id="604" name="Frame597"/>
                      <a:graphic xmlns:a="http://schemas.openxmlformats.org/drawingml/2006/main">
                        <a:graphicData uri="http://schemas.microsoft.com/office/word/2010/wordprocessingShape">
                          <wps:wsp>
                            <wps:cNvSpPr txBox="1"/>
                            <wps:spPr>
                              <a:xfrm>
                                <a:off x="0" y="0"/>
                                <a:ext cx="3863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5" name="Frame5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731520" cy="175260"/>
                      <wp:effectExtent l="0" t="0" r="0" b="0"/>
                      <wp:wrapNone/>
                      <wp:docPr id="606" name="Frame599"/>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92710" cy="175260"/>
                      <wp:effectExtent l="0" t="0" r="0" b="0"/>
                      <wp:wrapNone/>
                      <wp:docPr id="607" name="Frame60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731520" cy="175260"/>
                      <wp:effectExtent l="0" t="0" r="0" b="0"/>
                      <wp:wrapNone/>
                      <wp:docPr id="608" name="Frame601"/>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92710" cy="175260"/>
                      <wp:effectExtent l="0" t="0" r="0" b="0"/>
                      <wp:wrapNone/>
                      <wp:docPr id="609" name="Frame60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61365" cy="175260"/>
                      <wp:effectExtent l="0" t="0" r="0" b="0"/>
                      <wp:wrapNone/>
                      <wp:docPr id="610" name="Frame603"/>
                      <a:graphic xmlns:a="http://schemas.openxmlformats.org/drawingml/2006/main">
                        <a:graphicData uri="http://schemas.microsoft.com/office/word/2010/wordprocessingShape">
                          <wps:wsp>
                            <wps:cNvSpPr txBox="1"/>
                            <wps:spPr>
                              <a:xfrm>
                                <a:off x="0" y="0"/>
                                <a:ext cx="761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08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7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08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1"/>
              <w:ind w:left="0" w:right="0" w:hanging="0"/>
              <w:jc w:val="center"/>
              <w:rPr/>
            </w:pPr>
            <w:r>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119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8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5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1"/>
              <w:ind w:left="0" w:right="0" w:hanging="0"/>
              <w:jc w:val="center"/>
              <w:rPr/>
            </w:pPr>
            <w:r>
              <w:rPr/>
              <w:t>​</w:t>
            </w:r>
          </w:p>
        </w:tc>
        <w:tc>
          <w:tcPr>
            <w:tcW w:w="119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1199" w:type="dxa"/>
            <w:tcBorders/>
            <w:shd w:fill="CCEEFF" w:val="clear"/>
            <w:vAlign w:val="center"/>
          </w:tcPr>
          <w:p>
            <w:pPr>
              <w:pStyle w:val="TableContents"/>
              <w:spacing w:before="0" w:after="1"/>
              <w:ind w:left="0" w:right="0" w:hanging="0"/>
              <w:jc w:val="right"/>
              <w:rPr/>
            </w:pPr>
            <w:r>
              <w:rPr/>
              <w:t>  </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Mobility</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133,645,113</w:t>
            </w:r>
          </w:p>
        </w:tc>
        <w:tc>
          <w:tcPr>
            <w:tcW w:w="14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160,520,747</w:t>
            </w:r>
          </w:p>
        </w:tc>
        <w:tc>
          <w:tcPr>
            <w:tcW w:w="146" w:type="dxa"/>
            <w:tcBorders/>
            <w:shd w:fill="auto" w:val="clear"/>
            <w:vAlign w:val="center"/>
          </w:tcPr>
          <w:p>
            <w:pPr>
              <w:pStyle w:val="TableContents"/>
              <w:spacing w:before="0" w:after="1"/>
              <w:ind w:left="0" w:right="0" w:hanging="0"/>
              <w:rPr/>
            </w:pPr>
            <w:r>
              <w:rPr/>
              <w:t> </w:t>
            </w:r>
          </w:p>
        </w:tc>
        <w:tc>
          <w:tcPr>
            <w:tcW w:w="11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125,930,620</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2,333,113</w:t>
            </w:r>
          </w:p>
        </w:tc>
        <w:tc>
          <w:tcPr>
            <w:tcW w:w="14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3,622,366</w:t>
            </w:r>
          </w:p>
        </w:tc>
        <w:tc>
          <w:tcPr>
            <w:tcW w:w="146" w:type="dxa"/>
            <w:tcBorders/>
            <w:shd w:fill="CCEEFF" w:val="clear"/>
            <w:vAlign w:val="center"/>
          </w:tcPr>
          <w:p>
            <w:pPr>
              <w:pStyle w:val="TableContents"/>
              <w:spacing w:before="0" w:after="1"/>
              <w:ind w:left="0" w:right="0" w:hanging="0"/>
              <w:rPr/>
            </w:pPr>
            <w:r>
              <w:rPr/>
              <w:t> </w:t>
            </w:r>
          </w:p>
        </w:tc>
        <w:tc>
          <w:tcPr>
            <w:tcW w:w="11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5,863,123</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Initiatives</w:t>
            </w:r>
          </w:p>
        </w:tc>
        <w:tc>
          <w:tcPr>
            <w:tcW w:w="326" w:type="dxa"/>
            <w:tcBorders/>
            <w:shd w:fill="auto" w:val="clear"/>
            <w:vAlign w:val="center"/>
          </w:tcPr>
          <w:p>
            <w:pPr>
              <w:pStyle w:val="TableContents"/>
              <w:spacing w:before="0" w:after="1"/>
              <w:ind w:left="0" w:right="0" w:hanging="0"/>
              <w:rPr/>
            </w:pPr>
            <w:r>
              <w:rPr/>
              <w:t> </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5,757,926</w:t>
            </w:r>
          </w:p>
        </w:tc>
        <w:tc>
          <w:tcPr>
            <w:tcW w:w="146" w:type="dxa"/>
            <w:tcBorders/>
            <w:shd w:fill="auto" w:val="clear"/>
            <w:vAlign w:val="center"/>
          </w:tcPr>
          <w:p>
            <w:pPr>
              <w:pStyle w:val="TableContents"/>
              <w:spacing w:before="0" w:after="1"/>
              <w:ind w:left="0" w:right="0" w:hanging="0"/>
              <w:rPr/>
            </w:pPr>
            <w:r>
              <w:rPr/>
              <w:t> </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9,684,269</w:t>
            </w:r>
          </w:p>
        </w:tc>
        <w:tc>
          <w:tcPr>
            <w:tcW w:w="146" w:type="dxa"/>
            <w:tcBorders/>
            <w:shd w:fill="auto" w:val="clear"/>
            <w:vAlign w:val="center"/>
          </w:tcPr>
          <w:p>
            <w:pPr>
              <w:pStyle w:val="TableContents"/>
              <w:spacing w:before="0" w:after="1"/>
              <w:ind w:left="0" w:right="0" w:hanging="0"/>
              <w:rPr/>
            </w:pPr>
            <w:r>
              <w:rPr/>
              <w:t> </w:t>
            </w:r>
          </w:p>
        </w:tc>
        <w:tc>
          <w:tcPr>
            <w:tcW w:w="11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8,997,940</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segment revenues</w:t>
            </w:r>
          </w:p>
        </w:tc>
        <w:tc>
          <w:tcPr>
            <w:tcW w:w="326" w:type="dxa"/>
            <w:tcBorders/>
            <w:shd w:fill="CCEEFF" w:val="clear"/>
            <w:vAlign w:val="center"/>
          </w:tcPr>
          <w:p>
            <w:pPr>
              <w:pStyle w:val="TableContents"/>
              <w:spacing w:before="0" w:after="1"/>
              <w:ind w:left="0" w:right="0" w:hanging="0"/>
              <w:rPr/>
            </w:pPr>
            <w:r>
              <w:rPr/>
              <w:t> </w:t>
            </w:r>
          </w:p>
        </w:tc>
        <w:tc>
          <w:tcPr>
            <w:tcW w:w="115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141,736,152</w:t>
            </w:r>
          </w:p>
        </w:tc>
        <w:tc>
          <w:tcPr>
            <w:tcW w:w="146" w:type="dxa"/>
            <w:tcBorders/>
            <w:shd w:fill="CCEEFF" w:val="clear"/>
            <w:vAlign w:val="center"/>
          </w:tcPr>
          <w:p>
            <w:pPr>
              <w:pStyle w:val="TableContents"/>
              <w:spacing w:before="0" w:after="1"/>
              <w:ind w:left="0" w:right="0" w:hanging="0"/>
              <w:rPr/>
            </w:pPr>
            <w:r>
              <w:rPr/>
              <w:t> </w:t>
            </w:r>
          </w:p>
        </w:tc>
        <w:tc>
          <w:tcPr>
            <w:tcW w:w="115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173,827,382</w:t>
            </w:r>
          </w:p>
        </w:tc>
        <w:tc>
          <w:tcPr>
            <w:tcW w:w="146" w:type="dxa"/>
            <w:tcBorders/>
            <w:shd w:fill="CCEEFF" w:val="clear"/>
            <w:vAlign w:val="center"/>
          </w:tcPr>
          <w:p>
            <w:pPr>
              <w:pStyle w:val="TableContents"/>
              <w:spacing w:before="0" w:after="1"/>
              <w:ind w:left="0" w:right="0" w:hanging="0"/>
              <w:rPr/>
            </w:pPr>
            <w:r>
              <w:rPr/>
              <w:t> </w:t>
            </w:r>
          </w:p>
        </w:tc>
        <w:tc>
          <w:tcPr>
            <w:tcW w:w="11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140,791,683</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Adjusted EBITA:</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 </w:t>
            </w:r>
          </w:p>
        </w:tc>
        <w:tc>
          <w:tcPr>
            <w:tcW w:w="1199" w:type="dxa"/>
            <w:tcBorders/>
            <w:shd w:fill="auto" w:val="clear"/>
            <w:vAlign w:val="center"/>
          </w:tcPr>
          <w:p>
            <w:pPr>
              <w:pStyle w:val="TableContents"/>
              <w:spacing w:before="0" w:after="1"/>
              <w:ind w:left="0" w:right="0" w:hanging="0"/>
              <w:jc w:val="right"/>
              <w:rPr/>
            </w:pPr>
            <w:r>
              <w:rPr/>
              <w:t>​</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3,959,902</w:t>
            </w:r>
          </w:p>
        </w:tc>
        <w:tc>
          <w:tcPr>
            <w:tcW w:w="14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6,129,122</w:t>
            </w:r>
          </w:p>
        </w:tc>
        <w:tc>
          <w:tcPr>
            <w:tcW w:w="146" w:type="dxa"/>
            <w:tcBorders/>
            <w:shd w:fill="CCEEFF" w:val="clear"/>
            <w:vAlign w:val="center"/>
          </w:tcPr>
          <w:p>
            <w:pPr>
              <w:pStyle w:val="TableContents"/>
              <w:spacing w:before="0" w:after="1"/>
              <w:ind w:left="0" w:right="0" w:hanging="0"/>
              <w:rPr/>
            </w:pPr>
            <w:r>
              <w:rPr/>
              <w:t> </w:t>
            </w:r>
          </w:p>
        </w:tc>
        <w:tc>
          <w:tcPr>
            <w:tcW w:w="11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(1,449,926)</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International</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(3,533,836)</w:t>
            </w:r>
          </w:p>
        </w:tc>
        <w:tc>
          <w:tcPr>
            <w:tcW w:w="14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(5,787,976)</w:t>
            </w:r>
          </w:p>
        </w:tc>
        <w:tc>
          <w:tcPr>
            <w:tcW w:w="146" w:type="dxa"/>
            <w:tcBorders/>
            <w:shd w:fill="auto" w:val="clear"/>
            <w:vAlign w:val="center"/>
          </w:tcPr>
          <w:p>
            <w:pPr>
              <w:pStyle w:val="TableContents"/>
              <w:spacing w:before="0" w:after="1"/>
              <w:ind w:left="0" w:right="0" w:hanging="0"/>
              <w:rPr/>
            </w:pPr>
            <w:r>
              <w:rPr/>
              <w:t> </w:t>
            </w:r>
          </w:p>
        </w:tc>
        <w:tc>
          <w:tcPr>
            <w:tcW w:w="11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(4,024,455)</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(8,806,771)</w:t>
            </w:r>
          </w:p>
        </w:tc>
        <w:tc>
          <w:tcPr>
            <w:tcW w:w="146" w:type="dxa"/>
            <w:tcBorders/>
            <w:shd w:fill="CCEEFF" w:val="cle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(19,514,226)</w:t>
            </w:r>
          </w:p>
        </w:tc>
        <w:tc>
          <w:tcPr>
            <w:tcW w:w="146" w:type="dxa"/>
            <w:tcBorders/>
            <w:shd w:fill="CCEEFF" w:val="clear"/>
            <w:vAlign w:val="center"/>
          </w:tcPr>
          <w:p>
            <w:pPr>
              <w:pStyle w:val="TableContents"/>
              <w:spacing w:before="0" w:after="1"/>
              <w:ind w:left="0" w:right="0" w:hanging="0"/>
              <w:rPr/>
            </w:pPr>
            <w:r>
              <w:rPr/>
              <w:t> </w:t>
            </w:r>
          </w:p>
        </w:tc>
        <w:tc>
          <w:tcPr>
            <w:tcW w:w="11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(7,294,752)</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Adjusted EBITA</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(8,380,705)</w:t>
            </w:r>
          </w:p>
        </w:tc>
        <w:tc>
          <w:tcPr>
            <w:tcW w:w="14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(19,173,080)</w:t>
            </w:r>
          </w:p>
        </w:tc>
        <w:tc>
          <w:tcPr>
            <w:tcW w:w="146" w:type="dxa"/>
            <w:tcBorders/>
            <w:shd w:fill="auto" w:val="clear"/>
            <w:vAlign w:val="center"/>
          </w:tcPr>
          <w:p>
            <w:pPr>
              <w:pStyle w:val="TableContents"/>
              <w:spacing w:before="0" w:after="1"/>
              <w:ind w:left="0" w:right="0" w:hanging="0"/>
              <w:rPr/>
            </w:pPr>
            <w:r>
              <w:rPr/>
              <w:t> </w:t>
            </w:r>
          </w:p>
        </w:tc>
        <w:tc>
          <w:tcPr>
            <w:tcW w:w="11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(12,769,133)</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w:t>
              <w:noBreakHyphen/>
              <w:t>based compensation expenses</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(3,413,292)</w:t>
            </w:r>
          </w:p>
        </w:tc>
        <w:tc>
          <w:tcPr>
            <w:tcW w:w="14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(24,654,583)</w:t>
            </w:r>
          </w:p>
        </w:tc>
        <w:tc>
          <w:tcPr>
            <w:tcW w:w="146" w:type="dxa"/>
            <w:tcBorders/>
            <w:shd w:fill="CCEEFF" w:val="clear"/>
            <w:vAlign w:val="center"/>
          </w:tcPr>
          <w:p>
            <w:pPr>
              <w:pStyle w:val="TableContents"/>
              <w:spacing w:before="0" w:after="1"/>
              <w:ind w:left="0" w:right="0" w:hanging="0"/>
              <w:rPr/>
            </w:pPr>
            <w:r>
              <w:rPr/>
              <w:t> </w:t>
            </w:r>
          </w:p>
        </w:tc>
        <w:tc>
          <w:tcPr>
            <w:tcW w:w="11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(3,424,049)</w:t>
            </w:r>
          </w:p>
        </w:tc>
      </w:tr>
      <w:tr>
        <w:trPr/>
        <w:tc>
          <w:tcPr>
            <w:tcW w:w="6084"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Amortization of intangible assets</w:t>
            </w:r>
            <w:r>
              <w:rPr>
                <w:rFonts w:ascii="Times New Roman;Times;serif" w:hAnsi="Times New Roman;Times;serif"/>
                <w:sz w:val="15"/>
              </w:rPr>
              <w:t>(i)</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(1,993,945)</w:t>
            </w:r>
          </w:p>
        </w:tc>
        <w:tc>
          <w:tcPr>
            <w:tcW w:w="14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(1,824,762)</w:t>
            </w:r>
          </w:p>
        </w:tc>
        <w:tc>
          <w:tcPr>
            <w:tcW w:w="146" w:type="dxa"/>
            <w:tcBorders/>
            <w:shd w:fill="auto" w:val="clear"/>
            <w:vAlign w:val="center"/>
          </w:tcPr>
          <w:p>
            <w:pPr>
              <w:pStyle w:val="TableContents"/>
              <w:spacing w:before="0" w:after="1"/>
              <w:ind w:left="0" w:right="0" w:hanging="0"/>
              <w:rPr/>
            </w:pPr>
            <w:r>
              <w:rPr/>
              <w:t> </w:t>
            </w:r>
          </w:p>
        </w:tc>
        <w:tc>
          <w:tcPr>
            <w:tcW w:w="11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(1,631,280)</w:t>
            </w:r>
          </w:p>
        </w:tc>
      </w:tr>
      <w:tr>
        <w:trPr/>
        <w:tc>
          <w:tcPr>
            <w:tcW w:w="608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Impairment of goodwill and intangible assets acquired from business combination (Note 14)</w:t>
            </w:r>
          </w:p>
        </w:tc>
        <w:tc>
          <w:tcPr>
            <w:tcW w:w="326" w:type="dxa"/>
            <w:tcBorders/>
            <w:shd w:fill="CCEEFF" w:val="cle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(2,789,321)</w:t>
            </w:r>
          </w:p>
        </w:tc>
        <w:tc>
          <w:tcPr>
            <w:tcW w:w="146" w:type="dxa"/>
            <w:tcBorders/>
            <w:shd w:fill="CCEEFF" w:val="clear"/>
            <w:vAlign w:val="center"/>
          </w:tcPr>
          <w:p>
            <w:pPr>
              <w:pStyle w:val="TableContents"/>
              <w:spacing w:before="0" w:after="1"/>
              <w:ind w:left="0" w:right="0" w:hanging="0"/>
              <w:rPr/>
            </w:pPr>
            <w:r>
              <w:rPr/>
              <w:t> </w:t>
            </w:r>
          </w:p>
        </w:tc>
        <w:tc>
          <w:tcPr>
            <w:tcW w:w="119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608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consolidated loss from operations</w:t>
            </w:r>
          </w:p>
        </w:tc>
        <w:tc>
          <w:tcPr>
            <w:tcW w:w="326" w:type="dxa"/>
            <w:tcBorders/>
            <w:shd w:fill="auto" w:val="clear"/>
            <w:vAlign w:val="center"/>
          </w:tcPr>
          <w:p>
            <w:pPr>
              <w:pStyle w:val="TableContents"/>
              <w:spacing w:before="0" w:after="1"/>
              <w:ind w:left="0" w:right="0" w:hanging="0"/>
              <w:rPr/>
            </w:pPr>
            <w:r>
              <w:rPr/>
              <w:t> </w:t>
            </w:r>
          </w:p>
        </w:tc>
        <w:tc>
          <w:tcPr>
            <w:tcW w:w="115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(13,787,942)</w:t>
            </w:r>
          </w:p>
        </w:tc>
        <w:tc>
          <w:tcPr>
            <w:tcW w:w="146" w:type="dxa"/>
            <w:tcBorders/>
            <w:shd w:fill="auto" w:val="clear"/>
            <w:vAlign w:val="center"/>
          </w:tcPr>
          <w:p>
            <w:pPr>
              <w:pStyle w:val="TableContents"/>
              <w:spacing w:before="0" w:after="1"/>
              <w:ind w:left="0" w:right="0" w:hanging="0"/>
              <w:rPr/>
            </w:pPr>
            <w:r>
              <w:rPr/>
              <w:t> </w:t>
            </w:r>
          </w:p>
        </w:tc>
        <w:tc>
          <w:tcPr>
            <w:tcW w:w="115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(48,441,746)</w:t>
            </w:r>
          </w:p>
        </w:tc>
        <w:tc>
          <w:tcPr>
            <w:tcW w:w="146" w:type="dxa"/>
            <w:tcBorders/>
            <w:shd w:fill="auto" w:val="clear"/>
            <w:vAlign w:val="center"/>
          </w:tcPr>
          <w:p>
            <w:pPr>
              <w:pStyle w:val="TableContents"/>
              <w:spacing w:before="0" w:after="1"/>
              <w:ind w:left="0" w:right="0" w:hanging="0"/>
              <w:rPr/>
            </w:pPr>
            <w:r>
              <w:rPr/>
              <w:t> </w:t>
            </w:r>
          </w:p>
        </w:tc>
        <w:tc>
          <w:tcPr>
            <w:tcW w:w="119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(17,824,462)</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2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Amortization expenses in connection with business combinations were RMB1,977,400, RMB1,799,508</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highlight w:val="white"/>
              </w:rPr>
              <w:t>RMB1,561,239</w:t>
            </w:r>
            <w:r>
              <w:rPr>
                <w:caps w:val="false"/>
                <w:smallCaps w:val="false"/>
                <w:highlight w:val="white"/>
              </w:rPr>
              <w:t xml:space="preserve"> </w:t>
            </w:r>
            <w:r>
              <w:rPr>
                <w:rFonts w:ascii="Times New Roman;Times;serif" w:hAnsi="Times New Roman;Times;serif"/>
                <w:b w:val="false"/>
                <w:i w:val="false"/>
                <w:caps w:val="false"/>
                <w:smallCaps w:val="false"/>
                <w:sz w:val="20"/>
              </w:rPr>
              <w:t>for the years ended December 31, 2020, 2021 and 2022, respectively.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194" w:name="Tc_JoxJo1CO0UywsRnT-VwfCQ_8_0"/>
      <w:bookmarkStart w:id="2195" w:name="Tc_ujYAZA-m20OfraC5j6Ffbw_7_0"/>
      <w:bookmarkStart w:id="2196" w:name="Tc_CpWJIFIJ30CFP7lbj23z6A_6_0"/>
      <w:bookmarkStart w:id="2197" w:name="Tc_nNws2pyeTE-pYNFKPLpG2g_5_0"/>
      <w:bookmarkStart w:id="2198" w:name="Tc_t0HJ2Y5qeUay57jCOxIaMw_3_6"/>
      <w:bookmarkStart w:id="2199" w:name="Tc_i7OfsCr3N0GYOlGLBt6nmw_3_4"/>
      <w:bookmarkStart w:id="2200" w:name="Tc_ixcYKszHyEmEy0yOoMIyDg_3_2"/>
      <w:bookmarkStart w:id="2201" w:name="Tc_-NiqEtbQzUKyfs9tJvVq0g_2_6"/>
      <w:bookmarkStart w:id="2202" w:name="Tc_SYLUUAXQJECeUHMndoLpBA_2_4"/>
      <w:bookmarkStart w:id="2203" w:name="Tc_w3CWRnwdHEC4IOQ3YVF1kA_2_2"/>
      <w:bookmarkStart w:id="2204" w:name="Tc_XSBO30lZOEGpI8K-lWEI7Q_1_2"/>
      <w:bookmarkEnd w:id="2194"/>
      <w:bookmarkEnd w:id="2195"/>
      <w:bookmarkEnd w:id="2196"/>
      <w:bookmarkEnd w:id="2197"/>
      <w:bookmarkEnd w:id="2198"/>
      <w:bookmarkEnd w:id="2199"/>
      <w:bookmarkEnd w:id="2200"/>
      <w:bookmarkEnd w:id="2201"/>
      <w:bookmarkEnd w:id="2202"/>
      <w:bookmarkEnd w:id="2203"/>
      <w:bookmarkEnd w:id="2204"/>
      <w:r>
        <w:rPr>
          <w:rFonts w:ascii="Times New Roman;Times;serif" w:hAnsi="Times New Roman;Times;serif"/>
          <w:b/>
          <w:sz w:val="20"/>
        </w:rPr>
        <w:t>18. Segment reporting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by segment for the years ended December 31, 2020, 2021 and 2022:</w:t>
      </w:r>
    </w:p>
    <w:p>
      <w:pPr>
        <w:pStyle w:val="TextBody"/>
        <w:spacing w:before="0" w:after="0"/>
        <w:ind w:left="0" w:right="0" w:hanging="0"/>
        <w:rPr/>
      </w:pPr>
      <w:r>
        <w:rPr/>
        <w:t>​</w:t>
      </w:r>
    </w:p>
    <w:tbl>
      <w:tblPr>
        <w:tblW w:w="7867" w:type="dxa"/>
        <w:jc w:val="left"/>
        <w:tblInd w:w="0" w:type="dxa"/>
        <w:tblCellMar>
          <w:top w:w="0" w:type="dxa"/>
          <w:left w:w="0" w:type="dxa"/>
          <w:bottom w:w="0" w:type="dxa"/>
          <w:right w:w="0" w:type="dxa"/>
        </w:tblCellMar>
      </w:tblPr>
      <w:tblGrid>
        <w:gridCol w:w="3991"/>
        <w:gridCol w:w="326"/>
        <w:gridCol w:w="931"/>
        <w:gridCol w:w="326"/>
        <w:gridCol w:w="931"/>
        <w:gridCol w:w="326"/>
        <w:gridCol w:w="1036"/>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534285" cy="175260"/>
                      <wp:effectExtent l="0" t="0" r="0" b="0"/>
                      <wp:wrapNone/>
                      <wp:docPr id="611" name="Frame604"/>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612" name="Frame6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91185" cy="175260"/>
                      <wp:effectExtent l="0" t="0" r="0" b="0"/>
                      <wp:wrapNone/>
                      <wp:docPr id="613" name="Frame60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4" name="Frame6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91185" cy="175260"/>
                      <wp:effectExtent l="0" t="0" r="0" b="0"/>
                      <wp:wrapNone/>
                      <wp:docPr id="615" name="Frame60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6" name="Frame6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57860" cy="175260"/>
                      <wp:effectExtent l="0" t="0" r="0" b="0"/>
                      <wp:wrapNone/>
                      <wp:docPr id="617" name="Frame61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China Mobility</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260,179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306,382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360,612</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63,025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124,633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92,903</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Initiatives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2,951,940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3,789,506</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3,058,310</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depreciation of property and equipment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3,275,144</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4,220,521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3,511,825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Income taxes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Cayman Islands (“Cayman”)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or estate duty. There are no other taxes likely to be material to the Group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British Virgin Islands (“BVI”)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current laws of the British Virgin Islands, entities incorporated in British Virgin Islands are not subject to tax on their income or capital gains. In addition, payment of dividends by the British Virgin Islands subsidiaries to their respective shareholders who are not resident in the British Virgin Islands, if any, is not subject to withholding tax in the British Virgin Islands.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Hong Kong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current Hong Kong Inland Revenue Ordinance, the Group’s subsidiaries in Hong Kong are subject to 16.5% Hong Kong profit tax on their taxable income generated from operations in Hong Kong. Additionally, payments of dividends by the subsidiaries incorporated in Hong Kong to the Company are not subject to any Hong Kong withholding tax.</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Company’s subsidiaries and VIEs in the PRC are governed by the Enterprise Income Tax Law (“EIT Law”), which became effective on January 1, 2008. Pursuant to the EIT Law and its implementation rules, enterprises in the PRC are generally subject to tax at a statutory rate of 25%. Certified High and New Technology Enterprises (“HNTE”) are entitled to a preferential tax rate of 15%. The HNTE certificate is effective for a period of three years. One of the Group’s subsidiary is qualified the HNTE certificate and enjoyed a reduced rate of 15% for the years presented, which will expire in 2025.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relevant laws and regulations in the PRC, enterprises engaging in research and development activities were entitled to claim 150% of their research and development expenses incurred as tax deductible expenses when determining their assessable profits for that year (the “R&amp;D Deduction”). The State Taxation Administration of the PRC announced in September 2018 that enterprises engaging in research and development activities would be entitled to claim 175% of their research and development expenses as R&amp;D Deduction from January 1, 2018 to December 31,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205" w:name="Tc_mRbOIHnV9kup5jKNNHqVxA_7_0"/>
      <w:bookmarkStart w:id="2206" w:name="Tc_i5ViuVIUL0uIdIDmcpjgaQ_6_0"/>
      <w:bookmarkStart w:id="2207" w:name="Tc_wMA48cG5PkG8KX5I5A5w7w_5_0"/>
      <w:bookmarkStart w:id="2208" w:name="Tc_3FjERr6TKUqbJi2I3qIQ5g_3_6"/>
      <w:bookmarkStart w:id="2209" w:name="Tc_f5QNwRq7AUCw_GrJ2IlF-A_3_4"/>
      <w:bookmarkStart w:id="2210" w:name="Tc_nUOYyaPm8kGRjyEDPnurcA_3_2"/>
      <w:bookmarkStart w:id="2211" w:name="Tc_okiFiJ64SUOeOM1litvrPA_2_6"/>
      <w:bookmarkStart w:id="2212" w:name="Tc_rYWhG18JUEaT74uy2pW6FA_2_4"/>
      <w:bookmarkStart w:id="2213" w:name="Tc_6g9iDhj8WEmMJi_pnxRtMw_2_2"/>
      <w:bookmarkStart w:id="2214" w:name="Tc_mcyzNf922kSoMmVHUnlpig_1_2"/>
      <w:bookmarkStart w:id="2215" w:name="Tc_IJCHKZ-odkq90SufakLrqA_7_0"/>
      <w:bookmarkStart w:id="2216" w:name="Tc_VVvvC0tZnkmV3jav68vkJw_6_0"/>
      <w:bookmarkStart w:id="2217" w:name="Tc_pD_9hJYKREaMj5cOL_l83g_5_0"/>
      <w:bookmarkStart w:id="2218" w:name="Tc_MRTFMs52l0is7bIQC96BRQ_3_6"/>
      <w:bookmarkStart w:id="2219" w:name="Tc_MmJ20YfzekaSGefed1iazQ_3_4"/>
      <w:bookmarkStart w:id="2220" w:name="Tc_v0X_RnzqZECComtYaTc9Mg_3_2"/>
      <w:bookmarkStart w:id="2221" w:name="Tc_fYWqGESos0G1ZALpcoMmnA_2_6"/>
      <w:bookmarkStart w:id="2222" w:name="Tc_M9x7fR0S0EC-LgU3hLyfjw_2_4"/>
      <w:bookmarkStart w:id="2223" w:name="Tc_oz5TvYddyUuCTapugomcwg_2_2"/>
      <w:bookmarkStart w:id="2224" w:name="Tc_OhzrzmgdY0qNloH08pR7pg_1_2"/>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r>
        <w:rPr>
          <w:rFonts w:ascii="Times New Roman;Times;serif" w:hAnsi="Times New Roman;Times;serif"/>
          <w:b/>
          <w:sz w:val="20"/>
        </w:rPr>
        <w:t>19. Income taxes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EIT Law also provides that enterprises established under the laws of foreign countries or regions and whose “place of effective management” is located within the PRC are considered PRC tax resident enterprises and subject to the PRC income tax at the rate of 25% on worldwide income. The definition of “place of effective management” refers to an establishment that exercises, in substance, overall management and control over the production and business, personnel, accounting, properties, and other aspects of an enterprise. If the Company is deemed as a PRC tax resident, it would be subject to the PRC tax under the EIT Law. The Company has analyzed the applicability of this law and believes that the chance of being recognized as a tax resident enterprise is remote for the PRC tax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subsidiaries incorporated in other jurisdictions were subject to income tax charges calculated according to the tax laws enacted or substantially enacted in the countries where they operate and generate income.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Withholding tax on undistributed dividends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current EIT Law and its implementation rules, foreign enterprises, which have no establishment or place in China but derive dividends, interest, rents, royalties and other income (including capital gains) from sources in China or which have an establishment or place in China but the aforementioned incomes are not connected with the establishment or place shall be subject to the PRC withholding tax (“WHT”) at 10% (a further reduced WHT rate may be available according to the applicable double tax treaty or arrangement provided that the foreign enterprise is the tax resident of the jurisdiction where it is located and it is the beneficial owner of the dividends, interest and royalties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did not record any dividend withholding tax, as there were no taxable outside basis differences noted as of the end of the periods presented.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(loss) before income taxes consists of:</w:t>
      </w:r>
    </w:p>
    <w:p>
      <w:pPr>
        <w:pStyle w:val="TextBody"/>
        <w:spacing w:before="0" w:after="0"/>
        <w:ind w:left="0" w:right="0" w:hanging="0"/>
        <w:rPr/>
      </w:pPr>
      <w:r>
        <w:rPr/>
        <w:t>​</w:t>
      </w:r>
    </w:p>
    <w:tbl>
      <w:tblPr>
        <w:tblW w:w="7492" w:type="dxa"/>
        <w:jc w:val="left"/>
        <w:tblInd w:w="0" w:type="dxa"/>
        <w:tblCellMar>
          <w:top w:w="0" w:type="dxa"/>
          <w:left w:w="0" w:type="dxa"/>
          <w:bottom w:w="0" w:type="dxa"/>
          <w:right w:w="0" w:type="dxa"/>
        </w:tblCellMar>
      </w:tblPr>
      <w:tblGrid>
        <w:gridCol w:w="3001"/>
        <w:gridCol w:w="326"/>
        <w:gridCol w:w="1156"/>
        <w:gridCol w:w="326"/>
        <w:gridCol w:w="1156"/>
        <w:gridCol w:w="326"/>
        <w:gridCol w:w="1201"/>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905635" cy="175260"/>
                      <wp:effectExtent l="0" t="0" r="0" b="0"/>
                      <wp:wrapNone/>
                      <wp:docPr id="618" name="Frame611"/>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19" name="Frame6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734060" cy="175260"/>
                      <wp:effectExtent l="0" t="0" r="0" b="0"/>
                      <wp:wrapNone/>
                      <wp:docPr id="620" name="Frame61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21" name="Frame6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34060" cy="175260"/>
                      <wp:effectExtent l="0" t="0" r="0" b="0"/>
                      <wp:wrapNone/>
                      <wp:docPr id="622" name="Frame61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3" name="Frame6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762635" cy="175260"/>
                      <wp:effectExtent l="0" t="0" r="0" b="0"/>
                      <wp:wrapNone/>
                      <wp:docPr id="624" name="Frame617"/>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1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pPr>
            <w:r>
              <w:rPr/>
              <w:t>​</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overseas entities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3,020,403</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(7,665,988)</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(17,271,251)</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PRC entities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(13,931,143)</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(41,502,270)</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(6,507,345)</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(10,910,740)</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(49,168,258)</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(23,778,596)</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tax expenses (benefits) consists of:</w:t>
      </w:r>
    </w:p>
    <w:p>
      <w:pPr>
        <w:pStyle w:val="TextBody"/>
        <w:spacing w:before="0" w:after="0"/>
        <w:ind w:left="0" w:right="0" w:hanging="0"/>
        <w:rPr/>
      </w:pPr>
      <w:r>
        <w:rPr/>
        <w:t>​</w:t>
      </w:r>
    </w:p>
    <w:tbl>
      <w:tblPr>
        <w:tblW w:w="6817" w:type="dxa"/>
        <w:jc w:val="left"/>
        <w:tblInd w:w="0" w:type="dxa"/>
        <w:tblCellMar>
          <w:top w:w="0" w:type="dxa"/>
          <w:left w:w="0" w:type="dxa"/>
          <w:bottom w:w="0" w:type="dxa"/>
          <w:right w:w="0" w:type="dxa"/>
        </w:tblCellMar>
      </w:tblPr>
      <w:tblGrid>
        <w:gridCol w:w="3091"/>
        <w:gridCol w:w="326"/>
        <w:gridCol w:w="901"/>
        <w:gridCol w:w="326"/>
        <w:gridCol w:w="901"/>
        <w:gridCol w:w="326"/>
        <w:gridCol w:w="94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962785" cy="175260"/>
                      <wp:effectExtent l="0" t="0" r="0" b="0"/>
                      <wp:wrapNone/>
                      <wp:docPr id="625" name="Frame618"/>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6" name="Frame6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72135" cy="175260"/>
                      <wp:effectExtent l="0" t="0" r="0" b="0"/>
                      <wp:wrapNone/>
                      <wp:docPr id="627" name="Frame62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28" name="Frame6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72135" cy="175260"/>
                      <wp:effectExtent l="0" t="0" r="0" b="0"/>
                      <wp:wrapNone/>
                      <wp:docPr id="629" name="Frame62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07010" cy="175260"/>
                      <wp:effectExtent l="0" t="0" r="0" b="0"/>
                      <wp:wrapNone/>
                      <wp:docPr id="630" name="Frame6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00710" cy="175260"/>
                      <wp:effectExtent l="0" t="0" r="0" b="0"/>
                      <wp:wrapNone/>
                      <wp:docPr id="631" name="Frame62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income tax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170,502</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557,797</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170,091</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benefits</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(473,704)</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(391,477)</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(166,176)</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income tax expenses (benefits)</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(303,202)</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166,320</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3,915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225" w:name="Tc_qa1IkeeIzUOtB99cP6Aq9A_9_0"/>
      <w:bookmarkStart w:id="2226" w:name="Tc_zNRNT913_E2KPhWo0jXCTA_8_0"/>
      <w:bookmarkStart w:id="2227" w:name="Tc_aU6fyvrJpEGVX23PqKUZrQ_7_0"/>
      <w:bookmarkStart w:id="2228" w:name="Tc_ErlPPDidX0y-l4-8vyKO1A_6_0"/>
      <w:bookmarkStart w:id="2229" w:name="Tc_6WfrhZbxPkyrPyJJDc-1jg_5_0"/>
      <w:bookmarkStart w:id="2230" w:name="Tc_heFLlAj2JUWLnrv85ICWPA_4_0"/>
      <w:bookmarkStart w:id="2231" w:name="Tc_N5TkBaQMO02tN9M_EwbGbw_3_2"/>
      <w:bookmarkStart w:id="2232" w:name="Tc_b18TaKqDskK0RKUmZcTxbQ_2_2"/>
      <w:bookmarkStart w:id="2233" w:name="Tc_sUpOAD8TkESlwMVYTsMuQw_1_2"/>
      <w:bookmarkStart w:id="2234" w:name="Tc_1Q0X9SuXcEyPDPZlAbUClg_15_0"/>
      <w:bookmarkStart w:id="2235" w:name="Tc_CtuqewRu3025HLkDTMEM4A_14_0"/>
      <w:bookmarkStart w:id="2236" w:name="Tc_-Q6ivwPRWEeaq_TlRWtOlA_13_0"/>
      <w:bookmarkStart w:id="2237" w:name="Tc_6G69qfNuYkSrnZMoTwxBEg_12_0"/>
      <w:bookmarkStart w:id="2238" w:name="Tc_otSm5NpERUaX0sjEn4JxVw_11_0"/>
      <w:bookmarkStart w:id="2239" w:name="Tc_pOIbKNluT0SNhynmVPBwwA_10_0"/>
      <w:bookmarkStart w:id="2240" w:name="Tc_Bhg1OVa2fEOwgX72Ay2wdw_9_0"/>
      <w:bookmarkStart w:id="2241" w:name="Tc_S7omZCcBBkC-5ITQVs8ZQA_8_0"/>
      <w:bookmarkStart w:id="2242" w:name="Tc_Rbk3_gHZfUevbLy9qbVWJA_7_0"/>
      <w:bookmarkStart w:id="2243" w:name="Tc_BeB-Qf7D0kWIOVra41M4BQ_6_0"/>
      <w:bookmarkStart w:id="2244" w:name="Tc_eqi0W6VtwkSktm66K8fikw_5_0"/>
      <w:bookmarkStart w:id="2245" w:name="Tc_mG4d780UB0eZq14KRDib6g_4_0"/>
      <w:bookmarkStart w:id="2246" w:name="Tc_EzU2p0eiZU2Ag0-akcfmnQ_3_4"/>
      <w:bookmarkStart w:id="2247" w:name="Tc_5N0GRc3wT0qGXE7YP1Q11g_3_2"/>
      <w:bookmarkStart w:id="2248" w:name="Tc_gJNdOtz4i02xehSSRuK9tw_2_4"/>
      <w:bookmarkStart w:id="2249" w:name="Tc_89c7AgMVhk2tmYxYAd40RA_2_2"/>
      <w:bookmarkStart w:id="2250" w:name="Tc_SwWxv-Qcik-R6gZCCq6fnw_1_2"/>
      <w:bookmarkStart w:id="2251" w:name="Tc_TiwM_osW3E2GY85-QxYTfQ_10_7"/>
      <w:bookmarkStart w:id="2252" w:name="Tc_T8KJhhjepkCqkw4kE-O-bg_10_5"/>
      <w:bookmarkStart w:id="2253" w:name="Tc_EyeMyhobmEKswTuZNw1A_Q_10_3"/>
      <w:bookmarkStart w:id="2254" w:name="Tc_d3-1GPj4ik2f1B9_Q1UsQA_10_0"/>
      <w:bookmarkStart w:id="2255" w:name="Tc_DdFEDJZpMUaFcQHlnzJy4g_9_7"/>
      <w:bookmarkStart w:id="2256" w:name="Tc_hj8zVMZGwkKUYInPn9vTEg_9_5"/>
      <w:bookmarkStart w:id="2257" w:name="Tc_vDuOHbAo70yPnJo3orYlDQ_9_3"/>
      <w:bookmarkStart w:id="2258" w:name="Tc_dWGTDZtkY0CICLtI6bHwXw_9_0"/>
      <w:bookmarkStart w:id="2259" w:name="Tc_SkVRbrkQm0CpZQt7afaEgQ_8_7"/>
      <w:bookmarkStart w:id="2260" w:name="Tc_D5fvfb0_bEaczvnx4_T9Yw_8_5"/>
      <w:bookmarkStart w:id="2261" w:name="Tc_VReyVougtkizgL1gXvMU7A_8_3"/>
      <w:bookmarkStart w:id="2262" w:name="Tc_rOTbj0QTb0OpSgZsMAyQGQ_8_0"/>
      <w:bookmarkStart w:id="2263" w:name="Tc_dq-UiOU_bESI3yhEzO0ILg_7_7"/>
      <w:bookmarkStart w:id="2264" w:name="Tc_E1HhUYugWEm9f320RQb7uQ_7_5"/>
      <w:bookmarkStart w:id="2265" w:name="Tc_atA7ODribU-17nzZBaPijQ_7_3"/>
      <w:bookmarkStart w:id="2266" w:name="Tc_2A1_bcP3Z0OS9MaY-G829A_7_0"/>
      <w:bookmarkStart w:id="2267" w:name="Tc_pv7hPShOCk2dKQKk3Q3yAA_6_7"/>
      <w:bookmarkStart w:id="2268" w:name="Tc_apThlkWpaky8-cnnaMXxnA_6_5"/>
      <w:bookmarkStart w:id="2269" w:name="Tc_MMfZsTU1QEWjjHXHB663cQ_6_3"/>
      <w:bookmarkStart w:id="2270" w:name="Tc_1462--T480y5YoqVtfYs6Q_6_0"/>
      <w:bookmarkStart w:id="2271" w:name="Tc_aCZF7NqEakWgTE2i7lKv2w_5_7"/>
      <w:bookmarkStart w:id="2272" w:name="Tc_6WHIUAfclUWKsQ2K6CHn5Q_5_5"/>
      <w:bookmarkStart w:id="2273" w:name="Tc_e2aT1LnpOEKk3jAbQ8Rb2Q_5_3"/>
      <w:bookmarkStart w:id="2274" w:name="Tc_S8NJGBSZjk6QTRX9X1Bi8Q_5_0"/>
      <w:bookmarkStart w:id="2275" w:name="Tc_5G5IYO8BD0aqEQW0fE-34g_3_6"/>
      <w:bookmarkStart w:id="2276" w:name="Tc_Ha2VqG315USAr6kuegOsdA_3_4"/>
      <w:bookmarkStart w:id="2277" w:name="Tc_G_M26DPodkyzJu16TLrkTw_3_2"/>
      <w:bookmarkStart w:id="2278" w:name="Tc_faS2bcTn10mcICAWtBneVw_2_6"/>
      <w:bookmarkStart w:id="2279" w:name="Tc_TR_KhiO3tka0sEEIJ3rgBw_2_4"/>
      <w:bookmarkStart w:id="2280" w:name="Tc_j394EnD4Gk-vmUoZebpk-w_2_2"/>
      <w:bookmarkStart w:id="2281" w:name="Tc_ekTxCugifEOPEfdzRMEe5w_1_2"/>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r>
        <w:rPr>
          <w:rFonts w:ascii="Times New Roman;Times;serif" w:hAnsi="Times New Roman;Times;serif"/>
          <w:b/>
          <w:sz w:val="20"/>
        </w:rPr>
        <w:t>19. Income taxes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Reconciliation of the differences between the PRC statutory tax rate and the Group’s effective tax rate is as below:</w:t>
      </w:r>
    </w:p>
    <w:p>
      <w:pPr>
        <w:pStyle w:val="TextBody"/>
        <w:spacing w:before="0" w:after="0"/>
        <w:ind w:left="0" w:right="0" w:hanging="0"/>
        <w:rPr/>
      </w:pPr>
      <w:r>
        <w:rPr/>
        <w:t>​</w:t>
      </w:r>
    </w:p>
    <w:tbl>
      <w:tblPr>
        <w:tblW w:w="7248" w:type="dxa"/>
        <w:jc w:val="left"/>
        <w:tblInd w:w="0" w:type="dxa"/>
        <w:tblCellMar>
          <w:top w:w="0" w:type="dxa"/>
          <w:left w:w="0" w:type="dxa"/>
          <w:bottom w:w="0" w:type="dxa"/>
          <w:right w:w="0" w:type="dxa"/>
        </w:tblCellMar>
      </w:tblPr>
      <w:tblGrid>
        <w:gridCol w:w="3811"/>
        <w:gridCol w:w="326"/>
        <w:gridCol w:w="691"/>
        <w:gridCol w:w="361"/>
        <w:gridCol w:w="691"/>
        <w:gridCol w:w="361"/>
        <w:gridCol w:w="691"/>
        <w:gridCol w:w="316"/>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419985" cy="175260"/>
                      <wp:effectExtent l="0" t="0" r="0" b="0"/>
                      <wp:wrapNone/>
                      <wp:docPr id="632" name="Frame625"/>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3" name="Frame6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38785" cy="175260"/>
                      <wp:effectExtent l="0" t="0" r="0" b="0"/>
                      <wp:wrapNone/>
                      <wp:docPr id="634" name="Frame62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29235" cy="175260"/>
                      <wp:effectExtent l="0" t="0" r="0" b="0"/>
                      <wp:wrapNone/>
                      <wp:docPr id="635" name="Frame62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38785" cy="175260"/>
                      <wp:effectExtent l="0" t="0" r="0" b="0"/>
                      <wp:wrapNone/>
                      <wp:docPr id="636" name="Frame62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29235" cy="175260"/>
                      <wp:effectExtent l="0" t="0" r="0" b="0"/>
                      <wp:wrapNone/>
                      <wp:docPr id="637" name="Frame63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38785" cy="175260"/>
                      <wp:effectExtent l="0" t="0" r="0" b="0"/>
                      <wp:wrapNone/>
                      <wp:docPr id="638" name="Frame63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0660" cy="175260"/>
                      <wp:effectExtent l="0" t="0" r="0" b="0"/>
                      <wp:wrapNone/>
                      <wp:docPr id="639" name="Frame63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7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shd w:fill="auto" w:val="clear"/>
            <w:vAlign w:val="center"/>
          </w:tcPr>
          <w:p>
            <w:pPr>
              <w:pStyle w:val="TableContents"/>
              <w:spacing w:before="0" w:after="0"/>
              <w:ind w:left="0" w:right="0" w:hanging="0"/>
              <w:rPr/>
            </w:pPr>
            <w:r>
              <w:rPr/>
              <w:t> </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rPr/>
            </w:pPr>
            <w:r>
              <w:rPr/>
              <w:t> </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shd w:fill="auto" w:val="clear"/>
            <w:vAlign w:val="center"/>
          </w:tcPr>
          <w:p>
            <w:pPr>
              <w:pStyle w:val="TableContents"/>
              <w:spacing w:before="0" w:after="0"/>
              <w:ind w:left="0" w:right="0" w:hanging="0"/>
              <w:rPr/>
            </w:pPr>
            <w:r>
              <w:rPr/>
              <w:t> </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 statutory tax rate</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effect of preferential tax treatments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effect of permanent difference</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on tax rates in different tax jurisdiction</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valuation allowance and others</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Effective tax rate</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permanent differences mainly arose from share-based compensation expenses, R&amp;D Deduction, and non-taxable interest income etc.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Significant components of the Group’s deferred tax balances are as follows:</w:t>
      </w:r>
    </w:p>
    <w:p>
      <w:pPr>
        <w:pStyle w:val="TextBody"/>
        <w:spacing w:before="0" w:after="0"/>
        <w:ind w:left="0" w:right="0" w:hanging="0"/>
        <w:rPr/>
      </w:pPr>
      <w:r>
        <w:rPr/>
        <w:t>​</w:t>
      </w:r>
    </w:p>
    <w:tbl>
      <w:tblPr>
        <w:tblW w:w="8020" w:type="dxa"/>
        <w:jc w:val="left"/>
        <w:tblInd w:w="0" w:type="dxa"/>
        <w:tblCellMar>
          <w:top w:w="0" w:type="dxa"/>
          <w:left w:w="0" w:type="dxa"/>
          <w:bottom w:w="0" w:type="dxa"/>
          <w:right w:w="0" w:type="dxa"/>
        </w:tblCellMar>
      </w:tblPr>
      <w:tblGrid>
        <w:gridCol w:w="5011"/>
        <w:gridCol w:w="326"/>
        <w:gridCol w:w="1156"/>
        <w:gridCol w:w="326"/>
        <w:gridCol w:w="1201"/>
      </w:tblGrid>
      <w:tr>
        <w:trPr/>
        <w:tc>
          <w:tcPr>
            <w:tcW w:w="5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3181985" cy="175260"/>
                      <wp:effectExtent l="0" t="0" r="0" b="0"/>
                      <wp:wrapNone/>
                      <wp:docPr id="640" name="Frame633"/>
                      <a:graphic xmlns:a="http://schemas.openxmlformats.org/drawingml/2006/main">
                        <a:graphicData uri="http://schemas.microsoft.com/office/word/2010/wordprocessingShape">
                          <wps:wsp>
                            <wps:cNvSpPr txBox="1"/>
                            <wps:spPr>
                              <a:xfrm>
                                <a:off x="0" y="0"/>
                                <a:ext cx="3181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07010" cy="175260"/>
                      <wp:effectExtent l="0" t="0" r="0" b="0"/>
                      <wp:wrapNone/>
                      <wp:docPr id="641" name="Frame6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734060" cy="175260"/>
                      <wp:effectExtent l="0" t="0" r="0" b="0"/>
                      <wp:wrapNone/>
                      <wp:docPr id="642" name="Frame63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3" name="Frame6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762635" cy="175260"/>
                      <wp:effectExtent l="0" t="0" r="0" b="0"/>
                      <wp:wrapNone/>
                      <wp:docPr id="644" name="Frame637"/>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6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losses carryforwards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8,528,736</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14,026,637</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Advertising expenses in excess of deduct limit</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1,830,543</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3,093,464</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 and allowances for credit losses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1,575,404</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1,303,029</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others</w:t>
            </w:r>
          </w:p>
        </w:tc>
        <w:tc>
          <w:tcPr>
            <w:tcW w:w="326" w:type="dxa"/>
            <w:tcBorders/>
            <w:shd w:fill="CCEEFF" w:val="cle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1,732,080</w:t>
            </w:r>
          </w:p>
        </w:tc>
        <w:tc>
          <w:tcPr>
            <w:tcW w:w="326" w:type="dxa"/>
            <w:tcBorders/>
            <w:shd w:fill="CCEEFF" w:val="clear"/>
            <w:vAlign w:val="center"/>
          </w:tcPr>
          <w:p>
            <w:pPr>
              <w:pStyle w:val="TableContents"/>
              <w:spacing w:before="0" w:after="0"/>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1,513,483</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deferred tax assets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13,666,763</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19,936,613</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(13,065,611)</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(19,539,116)</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assets, net</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601,152</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397,497</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expense of intangible assets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659,926</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263,031</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expense of property and equipment, and others</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202,513</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204,943</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862,439</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467,974</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2022, the deferred tax asset, net, recognized from tax losses carryforwards was RMB33,278. The Group has tax losses in mainland China of RMB55,695,178 that will expire in one to ten years for deduction against future taxable profits:</w:t>
      </w:r>
    </w:p>
    <w:p>
      <w:pPr>
        <w:pStyle w:val="TextBody"/>
        <w:spacing w:before="0" w:after="0"/>
        <w:ind w:left="0" w:right="0" w:hanging="0"/>
        <w:rPr/>
      </w:pPr>
      <w:r>
        <w:rPr/>
        <w:t>​</w:t>
      </w:r>
    </w:p>
    <w:tbl>
      <w:tblPr>
        <w:tblW w:w="4993" w:type="dxa"/>
        <w:jc w:val="left"/>
        <w:tblInd w:w="0" w:type="dxa"/>
        <w:tblCellMar>
          <w:top w:w="0" w:type="dxa"/>
          <w:left w:w="0" w:type="dxa"/>
          <w:bottom w:w="0" w:type="dxa"/>
          <w:right w:w="0" w:type="dxa"/>
        </w:tblCellMar>
      </w:tblPr>
      <w:tblGrid>
        <w:gridCol w:w="3061"/>
        <w:gridCol w:w="326"/>
        <w:gridCol w:w="1606"/>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943735" cy="175260"/>
                      <wp:effectExtent l="0" t="0" r="0" b="0"/>
                      <wp:wrapNone/>
                      <wp:docPr id="645" name="Frame638"/>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7010" cy="175260"/>
                      <wp:effectExtent l="0" t="0" r="0" b="0"/>
                      <wp:wrapNone/>
                      <wp:docPr id="646" name="Frame6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019810" cy="175260"/>
                      <wp:effectExtent l="0" t="0" r="0" b="0"/>
                      <wp:wrapNone/>
                      <wp:docPr id="647" name="Frame640"/>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expiring in 2023</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1,926,709</w:t>
            </w:r>
          </w:p>
        </w:tc>
      </w:tr>
      <w:tr>
        <w:trPr/>
        <w:tc>
          <w:tcPr>
            <w:tcW w:w="30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expiring in 2024</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1,104,342</w:t>
            </w:r>
          </w:p>
        </w:tc>
      </w:tr>
      <w:tr>
        <w:trPr/>
        <w:tc>
          <w:tcPr>
            <w:tcW w:w="3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expiring in 2025</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7,656,285</w:t>
            </w:r>
          </w:p>
        </w:tc>
      </w:tr>
      <w:tr>
        <w:trPr/>
        <w:tc>
          <w:tcPr>
            <w:tcW w:w="30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Loss expiring in 2026 </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20,987,210</w:t>
            </w:r>
          </w:p>
        </w:tc>
      </w:tr>
      <w:tr>
        <w:trPr/>
        <w:tc>
          <w:tcPr>
            <w:tcW w:w="3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expiring in 2027 and thereafter</w:t>
            </w:r>
          </w:p>
        </w:tc>
        <w:tc>
          <w:tcPr>
            <w:tcW w:w="326" w:type="dxa"/>
            <w:tcBorders/>
            <w:shd w:fill="CCEEFF" w:val="clear"/>
            <w:vAlign w:val="center"/>
          </w:tcPr>
          <w:p>
            <w:pPr>
              <w:pStyle w:val="TableContents"/>
              <w:spacing w:before="0" w:after="1"/>
              <w:ind w:left="0" w:right="0" w:hanging="0"/>
              <w:rPr/>
            </w:pPr>
            <w:r>
              <w:rPr/>
              <w:t> </w:t>
            </w:r>
          </w:p>
        </w:tc>
        <w:tc>
          <w:tcPr>
            <w:tcW w:w="16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24,020,632</w:t>
            </w:r>
          </w:p>
        </w:tc>
      </w:tr>
      <w:tr>
        <w:trPr/>
        <w:tc>
          <w:tcPr>
            <w:tcW w:w="30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160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55,695,178</w:t>
            </w:r>
          </w:p>
        </w:tc>
      </w:tr>
    </w:tbl>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December 31, 2022, the accumulated tax losses carryforwards of subsidiaries incorporated in Brazil of RMB3,022,881 are allowed to be carried forward to offset against future taxable profits. The tax losses carryforwards in Brazil generally have no time limit.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282" w:name="Tc_YVrGA0t8jEKDrPhhchi4Iw_7_0"/>
      <w:bookmarkStart w:id="2283" w:name="Tc_QYFVbXbyuUiIJuRKes939A_6_0"/>
      <w:bookmarkStart w:id="2284" w:name="Tc_dN0bhGRmpkmQ-dwAK9waEg_5_0"/>
      <w:bookmarkStart w:id="2285" w:name="Tc_7xMKMICraU6qyvlOfshD2w_3_4"/>
      <w:bookmarkStart w:id="2286" w:name="Tc_rDQdRjMqgUS-UynIfYDnBw_3_2"/>
      <w:bookmarkStart w:id="2287" w:name="Tc_8CjZcO6I9kK3CY668aHmuA_2_4"/>
      <w:bookmarkStart w:id="2288" w:name="Tc_IXUZknKRSUy_ELfkuL49Lg_2_2"/>
      <w:bookmarkStart w:id="2289" w:name="Tc_EszT-Qm-xkKRFXmHYi5eeQ_1_2"/>
      <w:bookmarkEnd w:id="2282"/>
      <w:bookmarkEnd w:id="2283"/>
      <w:bookmarkEnd w:id="2284"/>
      <w:bookmarkEnd w:id="2285"/>
      <w:bookmarkEnd w:id="2286"/>
      <w:bookmarkEnd w:id="2287"/>
      <w:bookmarkEnd w:id="2288"/>
      <w:bookmarkEnd w:id="2289"/>
      <w:r>
        <w:rPr>
          <w:rFonts w:ascii="Times New Roman;Times;serif" w:hAnsi="Times New Roman;Times;serif"/>
          <w:b/>
          <w:sz w:val="20"/>
        </w:rPr>
        <w:t>19. Income taxes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offsets deferred tax assets and liabilities pertaining to a particular tax-paying component of the Group within a particular jurisdiction.</w:t>
      </w:r>
    </w:p>
    <w:p>
      <w:pPr>
        <w:pStyle w:val="TextBody"/>
        <w:spacing w:before="0" w:after="0"/>
        <w:ind w:left="0" w:right="0" w:hanging="0"/>
        <w:rPr/>
      </w:pPr>
      <w:r>
        <w:rPr/>
        <w:t>​</w:t>
      </w:r>
    </w:p>
    <w:tbl>
      <w:tblPr>
        <w:tblW w:w="6340" w:type="dxa"/>
        <w:jc w:val="left"/>
        <w:tblInd w:w="0" w:type="dxa"/>
        <w:tblCellMar>
          <w:top w:w="0" w:type="dxa"/>
          <w:left w:w="0" w:type="dxa"/>
          <w:bottom w:w="0" w:type="dxa"/>
          <w:right w:w="0" w:type="dxa"/>
        </w:tblCellMar>
      </w:tblPr>
      <w:tblGrid>
        <w:gridCol w:w="4201"/>
        <w:gridCol w:w="326"/>
        <w:gridCol w:w="781"/>
        <w:gridCol w:w="146"/>
        <w:gridCol w:w="886"/>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667635" cy="175260"/>
                      <wp:effectExtent l="0" t="0" r="0" b="0"/>
                      <wp:wrapNone/>
                      <wp:docPr id="648" name="Frame641"/>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49" name="Frame6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95935" cy="175260"/>
                      <wp:effectExtent l="0" t="0" r="0" b="0"/>
                      <wp:wrapNone/>
                      <wp:docPr id="650" name="Frame6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92710" cy="175260"/>
                      <wp:effectExtent l="0" t="0" r="0" b="0"/>
                      <wp:wrapNone/>
                      <wp:docPr id="651" name="Frame64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62610" cy="175260"/>
                      <wp:effectExtent l="0" t="0" r="0" b="0"/>
                      <wp:wrapNone/>
                      <wp:docPr id="652" name="Frame64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8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Classification in the consolidated balance sheets: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 net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224,491</w:t>
            </w:r>
          </w:p>
        </w:tc>
        <w:tc>
          <w:tcPr>
            <w:tcW w:w="14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289,191</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485,778</w:t>
            </w:r>
          </w:p>
        </w:tc>
        <w:tc>
          <w:tcPr>
            <w:tcW w:w="14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359,668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hd w:fill="FFFFFF" w:val="clear"/>
        <w:spacing w:before="0" w:after="240"/>
        <w:ind w:left="0" w:right="0" w:hanging="0"/>
        <w:rPr>
          <w:rFonts w:ascii="Times New Roman;Times;serif" w:hAnsi="Times New Roman;Times;serif"/>
          <w:b/>
          <w:sz w:val="20"/>
        </w:rPr>
      </w:pPr>
      <w:bookmarkStart w:id="2290" w:name="Tc_PWJ-C3samE2cuh6Ji9CCbQ_11_0"/>
      <w:bookmarkStart w:id="2291" w:name="Tc_KlYCxUg_qk2nvleirQ8p7g_10_2"/>
      <w:bookmarkStart w:id="2292" w:name="Tc_OFAb-uxd1kK3BXlWsV0VOg_10_0"/>
      <w:bookmarkStart w:id="2293" w:name="Tc_uVP0PRN0iUSulx8BeZ4sXQ_9_0"/>
      <w:bookmarkStart w:id="2294" w:name="Tc_xZzOun7tBkSZESAsGk-_vw_8_0"/>
      <w:bookmarkStart w:id="2295" w:name="Tc_5LM_hGoNmECeKF9AcKFCvQ_7_0"/>
      <w:bookmarkStart w:id="2296" w:name="Tc_xEm_5IAg4EiZWg88WP1H5w_6_0"/>
      <w:bookmarkStart w:id="2297" w:name="Tc_Ra3p-QhX506J6PWum3_oDQ_5_0"/>
      <w:bookmarkStart w:id="2298" w:name="Tc_dFlJyMSmsUK7YO03m6EeVA_3_6"/>
      <w:bookmarkStart w:id="2299" w:name="Tc_-flyXrsNi028B45yxJOKTw_3_4"/>
      <w:bookmarkStart w:id="2300" w:name="Tc_CC_AIMCIa0u_mPN9anIBow_3_2"/>
      <w:bookmarkStart w:id="2301" w:name="Tc_lOqC68zG00S1kOk5fB3y2w_2_6"/>
      <w:bookmarkStart w:id="2302" w:name="Tc_A2B5EDxaCkuTLG8ZhxQ1Eg_2_4"/>
      <w:bookmarkStart w:id="2303" w:name="Tc_3mt7oVK7M0C7l5Yxt4-jZg_2_2"/>
      <w:bookmarkStart w:id="2304" w:name="Tc_a7NTEDUOQ0C431s1aOsikA_1_2"/>
      <w:bookmarkStart w:id="2305" w:name="_6804cda0_af47_4756_a970_c9013b1aa71c"/>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r>
        <w:rPr>
          <w:rFonts w:ascii="Times New Roman;Times;serif" w:hAnsi="Times New Roman;Times;serif"/>
          <w:b/>
          <w:sz w:val="20"/>
        </w:rPr>
        <w:t>20. Share-based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table below presents a summary of the Group’s share-based compensation for the years ended December 31, 2020, 2021 and 2022:</w:t>
      </w:r>
    </w:p>
    <w:p>
      <w:pPr>
        <w:pStyle w:val="TextBody"/>
        <w:spacing w:before="0" w:after="0"/>
        <w:ind w:left="0" w:right="0" w:hanging="0"/>
        <w:rPr/>
      </w:pPr>
      <w:r>
        <w:rPr/>
        <w:t>​</w:t>
      </w:r>
    </w:p>
    <w:tbl>
      <w:tblPr>
        <w:tblW w:w="7252" w:type="dxa"/>
        <w:jc w:val="left"/>
        <w:tblInd w:w="0" w:type="dxa"/>
        <w:tblCellMar>
          <w:top w:w="0" w:type="dxa"/>
          <w:left w:w="0" w:type="dxa"/>
          <w:bottom w:w="0" w:type="dxa"/>
          <w:right w:w="0" w:type="dxa"/>
        </w:tblCellMar>
      </w:tblPr>
      <w:tblGrid>
        <w:gridCol w:w="3631"/>
        <w:gridCol w:w="326"/>
        <w:gridCol w:w="931"/>
        <w:gridCol w:w="146"/>
        <w:gridCol w:w="1036"/>
        <w:gridCol w:w="146"/>
        <w:gridCol w:w="1036"/>
      </w:tblGrid>
      <w:tr>
        <w:trPr/>
        <w:tc>
          <w:tcPr>
            <w:tcW w:w="3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305685" cy="175260"/>
                      <wp:effectExtent l="0" t="0" r="0" b="0"/>
                      <wp:wrapNone/>
                      <wp:docPr id="653" name="Frame646"/>
                      <a:graphic xmlns:a="http://schemas.openxmlformats.org/drawingml/2006/main">
                        <a:graphicData uri="http://schemas.microsoft.com/office/word/2010/wordprocessingShape">
                          <wps:wsp>
                            <wps:cNvSpPr txBox="1"/>
                            <wps:spPr>
                              <a:xfrm>
                                <a:off x="0" y="0"/>
                                <a:ext cx="2305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4" name="Frame6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91185" cy="175260"/>
                      <wp:effectExtent l="0" t="0" r="0" b="0"/>
                      <wp:wrapNone/>
                      <wp:docPr id="655" name="Frame64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92710" cy="175260"/>
                      <wp:effectExtent l="0" t="0" r="0" b="0"/>
                      <wp:wrapNone/>
                      <wp:docPr id="656" name="Frame64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57860" cy="175260"/>
                      <wp:effectExtent l="0" t="0" r="0" b="0"/>
                      <wp:wrapNone/>
                      <wp:docPr id="657" name="Frame65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92710" cy="175260"/>
                      <wp:effectExtent l="0" t="0" r="0" b="0"/>
                      <wp:wrapNone/>
                      <wp:docPr id="658" name="Frame65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57860" cy="175260"/>
                      <wp:effectExtent l="0" t="0" r="0" b="0"/>
                      <wp:wrapNone/>
                      <wp:docPr id="659" name="Frame65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6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Operations and support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80,139</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193,552</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143,588</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210,513</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326,332</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264,572</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777,888</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2,258,705</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1,183,306</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2,344,752</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21,875,994</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1,832,583</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share-based compensation expenses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3,413,292</w:t>
            </w:r>
          </w:p>
        </w:tc>
        <w:tc>
          <w:tcPr>
            <w:tcW w:w="14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24,654,583</w:t>
            </w:r>
          </w:p>
        </w:tc>
        <w:tc>
          <w:tcPr>
            <w:tcW w:w="14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3,424,049</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income (loss), net*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178,506</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47,421</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3,413,292</w:t>
            </w:r>
          </w:p>
        </w:tc>
        <w:tc>
          <w:tcPr>
            <w:tcW w:w="14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24,833,089</w:t>
            </w:r>
          </w:p>
        </w:tc>
        <w:tc>
          <w:tcPr>
            <w:tcW w:w="14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3,471,470</w:t>
            </w:r>
          </w:p>
        </w:tc>
      </w:tr>
    </w:tbl>
    <w:p>
      <w:pPr>
        <w:pStyle w:val="TextBody"/>
        <w:pBdr/>
        <w:spacing w:before="0" w:after="0"/>
        <w:ind w:left="0" w:right="0" w:hanging="360"/>
        <w:rPr>
          <w:rFonts w:ascii="Times New Roman;Times;serif" w:hAnsi="Times New Roman;Times;serif"/>
          <w:sz w:val="18"/>
        </w:rPr>
      </w:pPr>
      <w:r>
        <w:rPr>
          <w:rFonts w:ascii="Times New Roman;Times;serif" w:hAnsi="Times New Roman;Times;serif"/>
          <w:b/>
          <w:sz w:val="18"/>
        </w:rPr>
        <w:t>*</w:t>
      </w:r>
      <w:r>
        <w:rPr>
          <w:rFonts w:ascii="Times New Roman;Times;serif" w:hAnsi="Times New Roman;Times;serif"/>
          <w:sz w:val="18"/>
        </w:rPr>
        <w:t>     </w:t>
      </w:r>
      <w:r>
        <w:rPr>
          <w:rFonts w:ascii="Times New Roman;Times;serif" w:hAnsi="Times New Roman;Times;serif"/>
          <w:sz w:val="20"/>
        </w:rPr>
        <w:t>The Company granted share-based awards under the 2017 Plan and 2021 Plan (as defined below) to the employees of an equity investee with no</w:t>
      </w:r>
      <w:r>
        <w:rPr>
          <w:rFonts w:ascii="Times New Roman;Times;serif" w:hAnsi="Times New Roman;Times;serif"/>
          <w:sz w:val="18"/>
        </w:rPr>
        <w:t xml:space="preserve"> </w:t>
      </w:r>
      <w:r>
        <w:rPr>
          <w:rFonts w:ascii="Times New Roman;Times;serif" w:hAnsi="Times New Roman;Times;serif"/>
          <w:sz w:val="20"/>
        </w:rPr>
        <w:t>increase in the relative ownership percentage of the investee and no</w:t>
      </w:r>
      <w:r>
        <w:rPr>
          <w:rFonts w:ascii="Times New Roman;Times;serif" w:hAnsi="Times New Roman;Times;serif"/>
          <w:sz w:val="18"/>
        </w:rPr>
        <w:t xml:space="preserve"> </w:t>
      </w:r>
      <w:r>
        <w:rPr>
          <w:rFonts w:ascii="Times New Roman;Times;serif" w:hAnsi="Times New Roman;Times;serif"/>
          <w:sz w:val="20"/>
        </w:rPr>
        <w:t>proportionate funding by other investors. Accordingly, the Company recognized the entire cost of the share-based awards as incurred, amounting to RMB178,506</w:t>
      </w:r>
      <w:r>
        <w:rPr>
          <w:rFonts w:ascii="Times New Roman;Times;serif" w:hAnsi="Times New Roman;Times;serif"/>
          <w:sz w:val="18"/>
        </w:rPr>
        <w:t xml:space="preserve"> </w:t>
      </w:r>
      <w:r>
        <w:rPr>
          <w:rFonts w:ascii="Times New Roman;Times;serif" w:hAnsi="Times New Roman;Times;serif"/>
          <w:sz w:val="20"/>
        </w:rPr>
        <w:t>and RMB47,421</w:t>
      </w:r>
      <w:r>
        <w:rPr>
          <w:rFonts w:ascii="Times New Roman;Times;serif" w:hAnsi="Times New Roman;Times;serif"/>
          <w:sz w:val="18"/>
        </w:rPr>
        <w:t xml:space="preserve"> </w:t>
      </w:r>
      <w:r>
        <w:rPr>
          <w:rFonts w:ascii="Times New Roman;Times;serif" w:hAnsi="Times New Roman;Times;serif"/>
          <w:sz w:val="20"/>
        </w:rPr>
        <w:t>in investment income (loss), net in the consolidated statements of comprehensive loss for the years ended December 31, 2021 and 2022.</w:t>
      </w:r>
    </w:p>
    <w:p>
      <w:pPr>
        <w:pStyle w:val="TextBody"/>
        <w:pBdr/>
        <w:spacing w:before="0" w:after="240"/>
        <w:ind w:left="0" w:right="0" w:hanging="360"/>
        <w:rPr/>
      </w:pPr>
      <w:r>
        <w:rPr/>
        <w:t>​</w:t>
      </w:r>
    </w:p>
    <w:p>
      <w:pPr>
        <w:pStyle w:val="TextBody"/>
        <w:pBdr/>
        <w:spacing w:before="0" w:after="240"/>
        <w:ind w:left="0" w:right="0" w:hanging="360"/>
        <w:rPr/>
      </w:pPr>
      <w:r>
        <w:rPr/>
        <w:t>​</w:t>
      </w:r>
    </w:p>
    <w:p>
      <w:pPr>
        <w:pStyle w:val="TextBody"/>
        <w:pBdr/>
        <w:spacing w:before="0" w:after="240"/>
        <w:ind w:left="0" w:right="0" w:hanging="360"/>
        <w:rPr/>
      </w:pPr>
      <w:r>
        <w:rPr/>
        <w:t>​</w:t>
      </w:r>
    </w:p>
    <w:tbl>
      <w:tblPr>
        <w:tblW w:w="2252" w:type="dxa"/>
        <w:jc w:val="left"/>
        <w:tblInd w:w="0" w:type="dxa"/>
        <w:tblCellMar>
          <w:top w:w="0" w:type="dxa"/>
          <w:left w:w="0" w:type="dxa"/>
          <w:bottom w:w="0" w:type="dxa"/>
          <w:right w:w="0" w:type="dxa"/>
        </w:tblCellMar>
      </w:tblPr>
      <w:tblGrid>
        <w:gridCol w:w="346"/>
        <w:gridCol w:w="1906"/>
      </w:tblGrid>
      <w:tr>
        <w:trPr/>
        <w:tc>
          <w:tcPr>
            <w:tcW w:w="346"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w:t>
            </w:r>
          </w:p>
        </w:tc>
        <w:tc>
          <w:tcPr>
            <w:tcW w:w="190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2017, the Company adopted the Equity Incentive Plan (the “2017 Plan”), approved by the Board of Directors, which was subsequently amended. Share options, restricted shares and restricted share units (“RSUs”) under 2017 Plan may be granted to employees, directors and consultants of the Group and other related entities stipulated in the 2017 Plan. As of December 31, 2022, the maximum aggregate number of ordinary shares which may be issued pursuant to all awards under the 2017 Plan was 195,127,549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2021, the Company adopted the 2021 Share Incentive Plan (the “2021 Plan”), approved by the Board of Directors under which share options, restricted shares and RSUs may be granted to its employees, directors and consultants of the Group and other related entities stipulated in the 2021 Plan. As of December 31, 2022, the maximum aggregate number of ordinary shares which may be issued pursuant to all awards under the 2021 Plan was 116,906,908 shares.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306" w:name="Tc_547_sEQMH0u3XsSck-TTTA_25_0"/>
      <w:bookmarkStart w:id="2307" w:name="Tc_WGQea28kBEOw2lE1MSZ5EA_24_0"/>
      <w:bookmarkStart w:id="2308" w:name="Tc_N5LrfHsCYk2PYI0fmYoDoA_23_0"/>
      <w:bookmarkStart w:id="2309" w:name="Tc_yMKmor7LmE-GsBoxvpiELw_22_0"/>
      <w:bookmarkStart w:id="2310" w:name="Tc_yyHp6oBmoU6X9SwRcoaJ5w_21_0"/>
      <w:bookmarkStart w:id="2311" w:name="Tc_JhGulCHKXkSxE9I7jdeMsg_20_0"/>
      <w:bookmarkStart w:id="2312" w:name="Tc_RuAylOzQTkil2EUmAZgv2Q_19_0"/>
      <w:bookmarkStart w:id="2313" w:name="Tc_zul4-HlV50W_IuJPuEZtTg_18_0"/>
      <w:bookmarkStart w:id="2314" w:name="Tc_S8uqy-ZdHk2hm8-54saWSw_17_0"/>
      <w:bookmarkStart w:id="2315" w:name="Tc_arnuRtBxDE6nUEVQn8F9NA_16_0"/>
      <w:bookmarkStart w:id="2316" w:name="Tc_3WYQDfuGKkSTM6nsmlM-NQ_15_0"/>
      <w:bookmarkStart w:id="2317" w:name="Tc_nloVg62xiEGAb-J4C4XIoA_14_0"/>
      <w:bookmarkStart w:id="2318" w:name="Tc_jawSPMjjg0aPNVEFaKOKDw_13_0"/>
      <w:bookmarkStart w:id="2319" w:name="Tc_z3dU8xYpdEaDx4LcAC_sjA_12_0"/>
      <w:bookmarkStart w:id="2320" w:name="Tc_7tk-SZqpNkiqj_oEd3o0YA_11_0"/>
      <w:bookmarkStart w:id="2321" w:name="Tc_hjrjqMUvBEy0W5t-feXTpA_10_0"/>
      <w:bookmarkStart w:id="2322" w:name="Tc_6nXpfk6ew067pY1K2JkItw_9_0"/>
      <w:bookmarkStart w:id="2323" w:name="Tc_lmmzh3WT4EiUkh3O135i_w_8_0"/>
      <w:bookmarkStart w:id="2324" w:name="Tc_bzpSxoerskuTehCl9OYIdw_7_0"/>
      <w:bookmarkStart w:id="2325" w:name="Tc_ks_LBYHeIU25SMS84O9XNw_6_10"/>
      <w:bookmarkStart w:id="2326" w:name="Tc_jKIlPbZn70O7AFoXFu0IxA_6_8"/>
      <w:bookmarkStart w:id="2327" w:name="Tc__yrnPZ-lsUiB6rEWBJuX7A_6_6"/>
      <w:bookmarkStart w:id="2328" w:name="Tc_apCx39IQTU-0aN2VMNRpkg_6_4"/>
      <w:bookmarkStart w:id="2329" w:name="Tc_TOvcKeWhzU2Sc4TCAqt35w_5_10"/>
      <w:bookmarkStart w:id="2330" w:name="Tc_w3615XXkikKz-_b8fjhLOQ_5_8"/>
      <w:bookmarkStart w:id="2331" w:name="Tc_Rg4leHq98kyO3JSIU49AoQ_5_6"/>
      <w:bookmarkStart w:id="2332" w:name="Tc_HPQs5TjWo0SsV7d2k--1Ew_5_4"/>
      <w:bookmarkStart w:id="2333" w:name="Tc_8VaU1mfz106BvRUBU331OQ_5_2"/>
      <w:bookmarkStart w:id="2334" w:name="Tc_FSKUZIGhw0uQhO7H4PD2gQ_4_10"/>
      <w:bookmarkStart w:id="2335" w:name="Tc_zwe8jAs6ckiZ-e9AoDINUw_4_8"/>
      <w:bookmarkStart w:id="2336" w:name="Tc_dfwITkNBhkCpwayLjmkh1Q_4_6"/>
      <w:bookmarkStart w:id="2337" w:name="Tc_k5c5t_j0vEii4_OwE_Z8Wg_4_4"/>
      <w:bookmarkStart w:id="2338" w:name="Tc_Hqskvy1BdEyifeh_TnTBCw_4_2"/>
      <w:bookmarkStart w:id="2339" w:name="Tc_jyYT3EnYjkeF0SQQBdu1ow_3_10"/>
      <w:bookmarkStart w:id="2340" w:name="Tc_zfXe5CKntUijjp-e7BABIg_3_8"/>
      <w:bookmarkStart w:id="2341" w:name="Tc_S-wovAseNUq-vjEwDCWvHw_3_6"/>
      <w:bookmarkStart w:id="2342" w:name="Tc_1wsapLL9Xk-E3DWGQGAkiQ_3_4"/>
      <w:bookmarkStart w:id="2343" w:name="Tc_N58ttzTis06Rtly7DYA3cg_2_10"/>
      <w:bookmarkStart w:id="2344" w:name="Tc_oI5AmW4qzECOw8lrG1Fkbw_2_6"/>
      <w:bookmarkStart w:id="2345" w:name="Tc_iiNmrZqyNkOKl4vp7Alk9g_2_4"/>
      <w:bookmarkStart w:id="2346" w:name="Tc_165nobTRCEKBbaNQ6C3UCw_1_6"/>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r>
        <w:rPr>
          <w:rFonts w:ascii="Times New Roman;Times;serif" w:hAnsi="Times New Roman;Times;serif"/>
          <w:b/>
          <w:sz w:val="20"/>
        </w:rPr>
        <w:t>20. Share-based compensation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Share-based awards granted under the 2017 Plan and the 2021 Plan have a contractual term of seven years </w:t>
      </w:r>
      <w:r>
        <w:rPr>
          <w:rFonts w:ascii="Times New Roman;Times;serif" w:hAnsi="Times New Roman;Times;serif"/>
          <w:b w:val="false"/>
          <w:i w:val="false"/>
          <w:caps w:val="false"/>
          <w:smallCaps w:val="false"/>
          <w:sz w:val="20"/>
        </w:rPr>
        <w:t>from</w:t>
      </w:r>
      <w:r>
        <w:rPr>
          <w:rFonts w:ascii="Times New Roman;Times;serif" w:hAnsi="Times New Roman;Times;serif"/>
          <w:sz w:val="20"/>
        </w:rPr>
        <w:t xml:space="preserve"> the stated grant date and are generally subject to a four-year </w:t>
      </w:r>
      <w:r>
        <w:rPr>
          <w:rFonts w:ascii="Times New Roman;Times;serif" w:hAnsi="Times New Roman;Times;serif"/>
          <w:b w:val="false"/>
          <w:i w:val="false"/>
          <w:caps w:val="false"/>
          <w:smallCaps w:val="false"/>
          <w:sz w:val="20"/>
        </w:rPr>
        <w:t>vesting</w:t>
      </w:r>
      <w:r>
        <w:rPr>
          <w:rFonts w:ascii="Times New Roman;Times;serif" w:hAnsi="Times New Roman;Times;serif"/>
          <w:sz w:val="20"/>
        </w:rPr>
        <w:t xml:space="preserve"> schedule as determined by the administrator of the plans. Depending on the nature and the purpose of the grant, share-based awards generally vest 15% </w:t>
      </w:r>
      <w:r>
        <w:rPr>
          <w:rFonts w:ascii="Times New Roman;Times;serif" w:hAnsi="Times New Roman;Times;serif"/>
          <w:b w:val="false"/>
          <w:i w:val="false"/>
          <w:caps w:val="false"/>
          <w:smallCaps w:val="false"/>
          <w:sz w:val="20"/>
        </w:rPr>
        <w:t>upon</w:t>
      </w:r>
      <w:r>
        <w:rPr>
          <w:rFonts w:ascii="Times New Roman;Times;serif" w:hAnsi="Times New Roman;Times;serif"/>
          <w:sz w:val="20"/>
        </w:rPr>
        <w:t xml:space="preserve"> the first anniversary of the vesting commencement date,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25%, 25%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35% </w:t>
      </w:r>
      <w:r>
        <w:rPr>
          <w:rFonts w:ascii="Times New Roman;Times;serif" w:hAnsi="Times New Roman;Times;serif"/>
          <w:b w:val="false"/>
          <w:i w:val="false"/>
          <w:caps w:val="false"/>
          <w:smallCaps w:val="false"/>
          <w:sz w:val="20"/>
        </w:rPr>
        <w:t>in</w:t>
      </w:r>
      <w:r>
        <w:rPr>
          <w:rFonts w:ascii="Times New Roman;Times;serif" w:hAnsi="Times New Roman;Times;serif"/>
          <w:sz w:val="20"/>
        </w:rPr>
        <w:t xml:space="preserve"> following years thereafter. In January 2022, the Company extended the contractual term for share options from seven years to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years</w:t>
      </w:r>
      <w:r>
        <w:rPr>
          <w:rFonts w:ascii="Times New Roman;Times;serif" w:hAnsi="Times New Roman;Times;serif"/>
          <w:sz w:val="20"/>
        </w:rPr>
        <w:t>, effective as January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2021, the Company approved granting 66,711,066 share options under the 2017 Plan to certain then directors and executive officers with a nominal exercise price per share, of which 63,501,066 share options granted to certain senior management were fully vested as the result of accelerated vesting. This resulted in share-based compensation expenses of RMB19,572,000 recognised in general and administrative expenses in the consolidated financial statements for the year ended December 31,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Modification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and 2021, 20,280,382 and 1,020,551 existing share options were exchanged for 25,905,827 and 688,826 new options, respectively, with different exercise prices, leading to incremental costs of RMB98,153 and RMB5,678 on the respective modification dates. In January 2022, the Company extended the contractual term for share options from seven years to ten years as aforementioned, leading to incremental costs of RMB153,139 on the respective modification date.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Share Options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summary of activities of the share options for the years ended December 31, 2020 and 2021 and 2022 is presented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444"/>
        <w:gridCol w:w="326"/>
        <w:gridCol w:w="1136"/>
        <w:gridCol w:w="326"/>
        <w:gridCol w:w="991"/>
        <w:gridCol w:w="326"/>
        <w:gridCol w:w="1036"/>
        <w:gridCol w:w="326"/>
        <w:gridCol w:w="931"/>
        <w:gridCol w:w="326"/>
        <w:gridCol w:w="1037"/>
      </w:tblGrid>
      <w:tr>
        <w:trPr/>
        <w:tc>
          <w:tcPr>
            <w:tcW w:w="34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86940" cy="175260"/>
                      <wp:effectExtent l="0" t="0" r="0" b="0"/>
                      <wp:wrapNone/>
                      <wp:docPr id="660" name="Frame653"/>
                      <a:graphic xmlns:a="http://schemas.openxmlformats.org/drawingml/2006/main">
                        <a:graphicData uri="http://schemas.microsoft.com/office/word/2010/wordprocessingShape">
                          <wps:wsp>
                            <wps:cNvSpPr txBox="1"/>
                            <wps:spPr>
                              <a:xfrm>
                                <a:off x="0" y="0"/>
                                <a:ext cx="2186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1" name="Frame6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721360" cy="175260"/>
                      <wp:effectExtent l="0" t="0" r="0" b="0"/>
                      <wp:wrapNone/>
                      <wp:docPr id="662" name="Frame655"/>
                      <a:graphic xmlns:a="http://schemas.openxmlformats.org/drawingml/2006/main">
                        <a:graphicData uri="http://schemas.microsoft.com/office/word/2010/wordprocessingShape">
                          <wps:wsp>
                            <wps:cNvSpPr txBox="1"/>
                            <wps:spPr>
                              <a:xfrm>
                                <a:off x="0" y="0"/>
                                <a:ext cx="721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63" name="Frame6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29285" cy="175260"/>
                      <wp:effectExtent l="0" t="0" r="0" b="0"/>
                      <wp:wrapNone/>
                      <wp:docPr id="664" name="Frame657"/>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65" name="Frame6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57860" cy="175260"/>
                      <wp:effectExtent l="0" t="0" r="0" b="0"/>
                      <wp:wrapNone/>
                      <wp:docPr id="666" name="Frame65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7" name="Frame6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591185" cy="175260"/>
                      <wp:effectExtent l="0" t="0" r="0" b="0"/>
                      <wp:wrapNone/>
                      <wp:docPr id="668" name="Frame66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69" name="Frame6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58495" cy="175260"/>
                      <wp:effectExtent l="0" t="0" r="0" b="0"/>
                      <wp:wrapNone/>
                      <wp:docPr id="670" name="Frame663"/>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7" w:type="dxa"/>
            <w:tcBorders/>
            <w:shd w:fill="auto" w:val="clear"/>
            <w:vAlign w:val="center"/>
          </w:tcPr>
          <w:p>
            <w:pPr>
              <w:pStyle w:val="TableContents"/>
              <w:spacing w:before="0" w:after="0"/>
              <w:ind w:left="0" w:right="0" w:hanging="0"/>
              <w:jc w:val="center"/>
              <w:rPr/>
            </w:pPr>
            <w:r>
              <w:rPr/>
              <w:t>​</w: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26" w:type="dxa"/>
            <w:tcBorders/>
            <w:shd w:fill="auto" w:val="clear"/>
            <w:vAlign w:val="center"/>
          </w:tcPr>
          <w:p>
            <w:pPr>
              <w:pStyle w:val="TableContents"/>
              <w:spacing w:before="0" w:after="0"/>
              <w:ind w:left="0" w:right="0" w:hanging="0"/>
              <w:jc w:val="center"/>
              <w:rPr/>
            </w:pPr>
            <w:r>
              <w:rPr/>
              <w:t>​</w:t>
            </w:r>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Contractual</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Intrinsic</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jc w:val="center"/>
              <w:rPr/>
            </w:pPr>
            <w:r>
              <w:rPr/>
              <w:t>​</w:t>
            </w:r>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Grant Date</w:t>
            </w:r>
            <w:r>
              <w:rPr>
                <w:rFonts w:ascii="Times New Roman;Times;serif" w:hAnsi="Times New Roman;Times;serif"/>
                <w:sz w:val="16"/>
              </w:rPr>
              <w:t> </w: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Options</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jc w:val="center"/>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w:t>
            </w:r>
          </w:p>
        </w:tc>
        <w:tc>
          <w:tcPr>
            <w:tcW w:w="103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January 1, 2020</w:t>
            </w:r>
          </w:p>
        </w:tc>
        <w:tc>
          <w:tcPr>
            <w:tcW w:w="326" w:type="dxa"/>
            <w:tcBorders/>
            <w:shd w:fill="CCEEFF" w:val="clear"/>
            <w:vAlign w:val="center"/>
          </w:tcPr>
          <w:p>
            <w:pPr>
              <w:pStyle w:val="TableContents"/>
              <w:spacing w:before="0" w:after="0"/>
              <w:ind w:left="0" w:right="0" w:hanging="0"/>
              <w:jc w:val="center"/>
              <w:rPr/>
            </w:pPr>
            <w:r>
              <w:rPr/>
              <w:t>​</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58,401,190</w:t>
            </w:r>
          </w:p>
        </w:tc>
        <w:tc>
          <w:tcPr>
            <w:tcW w:w="326" w:type="dxa"/>
            <w:tcBorders/>
            <w:shd w:fill="CCEEFF" w:val="clear"/>
            <w:vAlign w:val="center"/>
          </w:tcPr>
          <w:p>
            <w:pPr>
              <w:pStyle w:val="TableContents"/>
              <w:spacing w:before="0" w:after="0"/>
              <w:ind w:left="0" w:right="0" w:hanging="0"/>
              <w:jc w:val="center"/>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shd w:fill="CCEEFF" w:val="clear"/>
            <w:vAlign w:val="center"/>
          </w:tcPr>
          <w:p>
            <w:pPr>
              <w:pStyle w:val="TableContents"/>
              <w:spacing w:before="0" w:after="0"/>
              <w:ind w:left="0" w:right="0" w:hanging="0"/>
              <w:jc w:val="center"/>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spacing w:before="0" w:after="0"/>
              <w:ind w:left="0" w:right="0" w:hanging="0"/>
              <w:jc w:val="center"/>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2,010,425</w:t>
            </w:r>
          </w:p>
        </w:tc>
        <w:tc>
          <w:tcPr>
            <w:tcW w:w="326" w:type="dxa"/>
            <w:tcBorders/>
            <w:shd w:fill="CCEEFF" w:val="clear"/>
            <w:vAlign w:val="center"/>
          </w:tcPr>
          <w:p>
            <w:pPr>
              <w:pStyle w:val="TableContents"/>
              <w:spacing w:before="0" w:after="0"/>
              <w:ind w:left="0" w:right="0" w:hanging="0"/>
              <w:jc w:val="center"/>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27.59</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12,981,876</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38.30</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Modification</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5,625,445 </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326" w:type="dxa"/>
            <w:tcBorders/>
            <w:shd w:fill="auto" w:val="clear"/>
            <w:vAlign w:val="center"/>
          </w:tcPr>
          <w:p>
            <w:pPr>
              <w:pStyle w:val="TableContents"/>
              <w:spacing w:before="0" w:after="0"/>
              <w:ind w:left="0" w:right="0" w:hanging="0"/>
              <w:rPr/>
            </w:pPr>
            <w:r>
              <w:rPr/>
              <w:t>​</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(13,379,655)</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405,191</w:t>
            </w:r>
          </w:p>
        </w:tc>
        <w:tc>
          <w:tcPr>
            <w:tcW w:w="326"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w:t>
            </w:r>
          </w:p>
        </w:tc>
        <w:tc>
          <w:tcPr>
            <w:tcW w:w="326" w:type="dxa"/>
            <w:tcBorders/>
            <w:shd w:fill="CCEEFF" w:val="clear"/>
            <w:vAlign w:val="center"/>
          </w:tcPr>
          <w:p>
            <w:pPr>
              <w:pStyle w:val="TableContents"/>
              <w:spacing w:before="0" w:after="0"/>
              <w:ind w:left="0" w:right="0" w:hanging="0"/>
              <w:rPr/>
            </w:pPr>
            <w:r>
              <w:rPr/>
              <w:t>​</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(12,526,172)</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379,344</w:t>
            </w:r>
          </w:p>
        </w:tc>
        <w:tc>
          <w:tcPr>
            <w:tcW w:w="326"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326" w:type="dxa"/>
            <w:tcBorders/>
            <w:shd w:fill="auto" w:val="clear"/>
            <w:vAlign w:val="center"/>
          </w:tcPr>
          <w:p>
            <w:pPr>
              <w:pStyle w:val="TableContents"/>
              <w:spacing w:before="0" w:after="0"/>
              <w:ind w:left="0" w:right="0" w:hanging="0"/>
              <w:rPr/>
            </w:pPr>
            <w:r>
              <w:rPr/>
              <w:t> </w:t>
            </w:r>
          </w:p>
        </w:tc>
        <w:tc>
          <w:tcPr>
            <w:tcW w:w="11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(4,304,441)</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34.20</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December 31, 2020</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46,798,243</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1,686,640</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88,434,809</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47.47</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Modification</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(331,725)</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326" w:type="dxa"/>
            <w:tcBorders/>
            <w:shd w:fill="auto" w:val="clear"/>
            <w:vAlign w:val="center"/>
          </w:tcPr>
          <w:p>
            <w:pPr>
              <w:pStyle w:val="TableContents"/>
              <w:spacing w:before="0" w:after="0"/>
              <w:ind w:left="0" w:right="0" w:hanging="0"/>
              <w:rPr/>
            </w:pPr>
            <w:r>
              <w:rPr/>
              <w:t> </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(68,616,887)</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1,366,836</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(9,640,697)</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192,041</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326" w:type="dxa"/>
            <w:tcBorders/>
            <w:shd w:fill="auto" w:val="clear"/>
            <w:vAlign w:val="center"/>
          </w:tcPr>
          <w:p>
            <w:pPr>
              <w:pStyle w:val="TableContents"/>
              <w:spacing w:before="0" w:after="0"/>
              <w:ind w:left="0" w:right="0" w:hanging="0"/>
              <w:rPr/>
            </w:pPr>
            <w:r>
              <w:rPr/>
              <w:t> </w:t>
            </w:r>
          </w:p>
        </w:tc>
        <w:tc>
          <w:tcPr>
            <w:tcW w:w="11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(4,067,894)</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December 31, 2021</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52,575,849</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789,898</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30.18</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18,459,565</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0.0001823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(2,749,909)</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33,819</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326" w:type="dxa"/>
            <w:tcBorders/>
            <w:shd w:fill="auto" w:val="clear"/>
            <w:vAlign w:val="center"/>
          </w:tcPr>
          <w:p>
            <w:pPr>
              <w:pStyle w:val="TableContents"/>
              <w:spacing w:before="0" w:after="0"/>
              <w:ind w:left="0" w:right="0" w:hanging="0"/>
              <w:rPr/>
            </w:pPr>
            <w:r>
              <w:rPr/>
              <w:t> </w:t>
            </w:r>
          </w:p>
        </w:tc>
        <w:tc>
          <w:tcPr>
            <w:tcW w:w="11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(4,552,050)</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36.86</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63,733,455</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559,325</w:t>
            </w:r>
          </w:p>
        </w:tc>
        <w:tc>
          <w:tcPr>
            <w:tcW w:w="326" w:type="dxa"/>
            <w:tcBorders/>
            <w:shd w:fill="CCEEFF" w:val="clear"/>
            <w:vAlign w:val="center"/>
          </w:tcPr>
          <w:p>
            <w:pPr>
              <w:pStyle w:val="TableContents"/>
              <w:spacing w:before="0" w:after="0"/>
              <w:ind w:left="0" w:right="0" w:hanging="0"/>
              <w:rPr/>
            </w:pPr>
            <w:r>
              <w:rPr/>
              <w:t> </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w:t>
            </w:r>
          </w:p>
        </w:tc>
      </w:tr>
      <w:tr>
        <w:trPr/>
        <w:tc>
          <w:tcPr>
            <w:tcW w:w="3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Exercisable as of December 31, 2022</w:t>
            </w:r>
          </w:p>
        </w:tc>
        <w:tc>
          <w:tcPr>
            <w:tcW w:w="326" w:type="dxa"/>
            <w:tcBorders/>
            <w:shd w:fill="auto" w:val="clear"/>
            <w:vAlign w:val="center"/>
          </w:tcPr>
          <w:p>
            <w:pPr>
              <w:pStyle w:val="TableContents"/>
              <w:spacing w:before="0" w:after="0"/>
              <w:ind w:left="0" w:right="0" w:hanging="0"/>
              <w:rPr/>
            </w:pPr>
            <w:r>
              <w:rPr/>
              <w:t>​</w:t>
            </w:r>
          </w:p>
        </w:tc>
        <w:tc>
          <w:tcPr>
            <w:tcW w:w="1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34,881,339</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198,497</w:t>
            </w:r>
          </w:p>
        </w:tc>
        <w:tc>
          <w:tcPr>
            <w:tcW w:w="326"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34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Vested and Expected to Vest as of December 31,2022</w:t>
            </w:r>
          </w:p>
        </w:tc>
        <w:tc>
          <w:tcPr>
            <w:tcW w:w="326" w:type="dxa"/>
            <w:tcBorders/>
            <w:shd w:fill="CCEEFF" w:val="clear"/>
            <w:vAlign w:val="center"/>
          </w:tcPr>
          <w:p>
            <w:pPr>
              <w:pStyle w:val="TableContents"/>
              <w:spacing w:before="0" w:after="0"/>
              <w:ind w:left="0" w:right="0" w:hanging="0"/>
              <w:rPr/>
            </w:pPr>
            <w:r>
              <w:rPr/>
              <w:t>​</w:t>
            </w:r>
          </w:p>
        </w:tc>
        <w:tc>
          <w:tcPr>
            <w:tcW w:w="11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56,489,339</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467,150</w:t>
            </w:r>
          </w:p>
        </w:tc>
        <w:tc>
          <w:tcPr>
            <w:tcW w:w="326"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25.13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347" w:name="Tc_rGJIa4A9tkOzs2XQ5AMxtA_22_0"/>
      <w:bookmarkStart w:id="2348" w:name="Tc_d6JJjVAenkGbSvDyt7t9FQ_21_0"/>
      <w:bookmarkStart w:id="2349" w:name="Tc_9fEcX0xeB0yFK2lkDPXJLQ_20_0"/>
      <w:bookmarkStart w:id="2350" w:name="Tc_v2dFEUPASEugGS1yzIe76A_19_0"/>
      <w:bookmarkStart w:id="2351" w:name="Tc_YvgwKUEPB0-v4UN5GcknZQ_18_0"/>
      <w:bookmarkStart w:id="2352" w:name="Tc_doPBywJCO0usGbEz4EvHHw_17_0"/>
      <w:bookmarkStart w:id="2353" w:name="Tc_4ify8LM37kSjX2dR93h-eg_16_0"/>
      <w:bookmarkStart w:id="2354" w:name="Tc_nert3EuwA02vEzfTYGzMcg_15_0"/>
      <w:bookmarkStart w:id="2355" w:name="Tc_v2xMr_tP1k-GFcvQmEk5Yg_14_0"/>
      <w:bookmarkStart w:id="2356" w:name="Tc_hmMo8CQpl0Gtq4lPp2HUYQ_13_0"/>
      <w:bookmarkStart w:id="2357" w:name="Tc_gy3DVG1PcEWcQdcEta55og_12_0"/>
      <w:bookmarkStart w:id="2358" w:name="Tc_ugoZzMA36kKa1zG8s1ZdiQ_11_0"/>
      <w:bookmarkStart w:id="2359" w:name="Tc_DfBd1XzPNUmhur8_2iUxmw_10_0"/>
      <w:bookmarkStart w:id="2360" w:name="Tc_mHr0Y2PfHUyzLkgbEIr3kw_9_0"/>
      <w:bookmarkStart w:id="2361" w:name="Tc_E2nfdfHqFkWnEl1Gx0z06w_8_0"/>
      <w:bookmarkStart w:id="2362" w:name="Tc_BkFdXIekaUCTTyVemwiVDA_7_0"/>
      <w:bookmarkStart w:id="2363" w:name="Tc_zuvTUYvjkUqZe3yLEFx-uA_6_6"/>
      <w:bookmarkStart w:id="2364" w:name="Tc_FBiqFAa5Oku7j6sRHQHV1Q_6_4"/>
      <w:bookmarkStart w:id="2365" w:name="Tc_9vrZ4Vy4Q0mAVFWtoi5TKA_5_6"/>
      <w:bookmarkStart w:id="2366" w:name="Tc_aXU0kgt1aUWvS22l2q4NSw_5_4"/>
      <w:bookmarkStart w:id="2367" w:name="Tc_JxPeRD6PvUyo6V1meZz-_w_5_2"/>
      <w:bookmarkStart w:id="2368" w:name="Tc__cfEkcp8TEqYtcTlvUzYog_4_6"/>
      <w:bookmarkStart w:id="2369" w:name="Tc_5cPx3SxdvU6g2zDoLaWhaA_4_4"/>
      <w:bookmarkStart w:id="2370" w:name="Tc_xNcR93hgOEGtRXmLiTmzXg_4_2"/>
      <w:bookmarkStart w:id="2371" w:name="Tc_m-8J-0zl4kWKJsJ3JnVMyQ_3_6"/>
      <w:bookmarkStart w:id="2372" w:name="Tc_2zR_yWKE60y4iSXJb6KMHw_3_4"/>
      <w:bookmarkStart w:id="2373" w:name="Tc_305KPT_vekWr0T0xfnBuUw_2_6"/>
      <w:bookmarkStart w:id="2374" w:name="Tc_FuHfyz0oWUyI1Cx8EsZgtQ_2_4"/>
      <w:bookmarkStart w:id="2375" w:name="Tc_tsGkvQAD-ES9R9tQdtMErA_1_6"/>
      <w:bookmarkStart w:id="2376" w:name="Tc_yVJq0XHVjUGYfjAbitv3jw_7_0"/>
      <w:bookmarkStart w:id="2377" w:name="Tc_WNQAqdvP_0mb8HEwUUhyrQ_6_0"/>
      <w:bookmarkStart w:id="2378" w:name="Tc_A44bmb3jFUSJl5o3dK1rZQ_5_6"/>
      <w:bookmarkStart w:id="2379" w:name="Tc_AR_iv2dt_EG2LlNUF87Z2w_5_4"/>
      <w:bookmarkStart w:id="2380" w:name="Tc_zvxCJwCUAkSkyQBD2qZMbw_5_2"/>
      <w:bookmarkStart w:id="2381" w:name="Tc_C_X60O_KCUOXbIk7D91s6w_5_0"/>
      <w:bookmarkStart w:id="2382" w:name="Tc_ItSK869FgUqH1yxqrS46-w_4_6"/>
      <w:bookmarkStart w:id="2383" w:name="Tc_22SqCUWHVkWIF7TdzM6ySQ_4_4"/>
      <w:bookmarkStart w:id="2384" w:name="Tc_SPRH_ssqLkqLL6RxOmLTqw_4_2"/>
      <w:bookmarkStart w:id="2385" w:name="Tc_yP4I1jWzM0q-9yMrE_2YZw_4_0"/>
      <w:bookmarkStart w:id="2386" w:name="Tc_xFh-rTRciEaKyf5BKmzzIw_3_6"/>
      <w:bookmarkStart w:id="2387" w:name="Tc_bg309vvEpECycLKOAOYAKQ_3_4"/>
      <w:bookmarkStart w:id="2388" w:name="Tc_AzABUkFpck-Nongw5IdY2w_3_2"/>
      <w:bookmarkStart w:id="2389" w:name="Tc_ke20BGkXK0eHMgNPFvmltQ_3_0"/>
      <w:bookmarkStart w:id="2390" w:name="Tc_MSSw1k9ABUWCQ-d8XKgYwg_2_6"/>
      <w:bookmarkStart w:id="2391" w:name="Tc_n94PAdFu1Umb8mbcKetYpQ_2_4"/>
      <w:bookmarkStart w:id="2392" w:name="Tc_2fHO4SQK-UmNwP-uYMHypw_2_2"/>
      <w:bookmarkStart w:id="2393" w:name="Tc_67iyDFnRPkaZbJqtBrTqjw_1_2"/>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r>
        <w:rPr>
          <w:rFonts w:ascii="Times New Roman;Times;serif" w:hAnsi="Times New Roman;Times;serif"/>
          <w:b/>
          <w:sz w:val="20"/>
        </w:rPr>
        <w:t>20. Share-based compensation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uses the binomial option pricing model to determine fair value of the share-based awards. The estimated fair value of each option granted is estimated on the date of grant using the binomial option-pricing model with the following assumptions:</w:t>
      </w:r>
    </w:p>
    <w:p>
      <w:pPr>
        <w:pStyle w:val="TextBody"/>
        <w:spacing w:before="0" w:after="0"/>
        <w:ind w:left="0" w:right="0" w:hanging="0"/>
        <w:rPr/>
      </w:pPr>
      <w:r>
        <w:rPr/>
        <w:t>​</w:t>
      </w:r>
    </w:p>
    <w:tbl>
      <w:tblPr>
        <w:tblW w:w="7987" w:type="dxa"/>
        <w:jc w:val="left"/>
        <w:tblInd w:w="0" w:type="dxa"/>
        <w:tblCellMar>
          <w:top w:w="0" w:type="dxa"/>
          <w:left w:w="0" w:type="dxa"/>
          <w:bottom w:w="0" w:type="dxa"/>
          <w:right w:w="0" w:type="dxa"/>
        </w:tblCellMar>
      </w:tblPr>
      <w:tblGrid>
        <w:gridCol w:w="2926"/>
        <w:gridCol w:w="326"/>
        <w:gridCol w:w="1306"/>
        <w:gridCol w:w="326"/>
        <w:gridCol w:w="1306"/>
        <w:gridCol w:w="326"/>
        <w:gridCol w:w="1471"/>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858010" cy="175260"/>
                      <wp:effectExtent l="0" t="0" r="0" b="0"/>
                      <wp:wrapNone/>
                      <wp:docPr id="671" name="Frame664"/>
                      <a:graphic xmlns:a="http://schemas.openxmlformats.org/drawingml/2006/main">
                        <a:graphicData uri="http://schemas.microsoft.com/office/word/2010/wordprocessingShape">
                          <wps:wsp>
                            <wps:cNvSpPr txBox="1"/>
                            <wps:spPr>
                              <a:xfrm>
                                <a:off x="0" y="0"/>
                                <a:ext cx="1858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72" name="Frame6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829310" cy="175260"/>
                      <wp:effectExtent l="0" t="0" r="0" b="0"/>
                      <wp:wrapNone/>
                      <wp:docPr id="673" name="Frame66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4" name="Frame6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829310" cy="175260"/>
                      <wp:effectExtent l="0" t="0" r="0" b="0"/>
                      <wp:wrapNone/>
                      <wp:docPr id="675" name="Frame668"/>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175260"/>
                      <wp:effectExtent l="0" t="0" r="0" b="0"/>
                      <wp:wrapNone/>
                      <wp:docPr id="676" name="Frame6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934085" cy="175260"/>
                      <wp:effectExtent l="0" t="0" r="0" b="0"/>
                      <wp:wrapNone/>
                      <wp:docPr id="677" name="Frame670"/>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7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ordinary shares (US$)</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37.65 </w:t>
              <w:noBreakHyphen/>
              <w:t xml:space="preserve"> 42.08</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30.32 – 65.60</w:t>
            </w:r>
          </w:p>
        </w:tc>
        <w:tc>
          <w:tcPr>
            <w:tcW w:w="326" w:type="dxa"/>
            <w:tcBorders/>
            <w:shd w:fill="CCEEFF" w:val="clear"/>
            <w:vAlign w:val="center"/>
          </w:tcPr>
          <w:p>
            <w:pPr>
              <w:pStyle w:val="TableContents"/>
              <w:spacing w:before="0" w:after="0"/>
              <w:ind w:left="0" w:right="0" w:hanging="0"/>
              <w:rPr/>
            </w:pPr>
            <w:r>
              <w:rPr/>
              <w:t> </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7.34-19.92</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31.0% </w:t>
              <w:noBreakHyphen/>
              <w:t xml:space="preserve"> 34.8%</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33.6% - 37.8%</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35.27%-40.34%</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w:t>
              <w:noBreakHyphen/>
              <w:t>free interest rate (per annum)</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1.16% </w:t>
              <w:noBreakHyphen/>
              <w:t xml:space="preserve"> 1.69%</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0.94% - 1.26%</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1.52%-3.83%</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Restricted shares and RSUs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summary of activities of restricted shares and RSUs for the years ended December 31, 2020, 2021 and 2022 is presented as follows:</w:t>
      </w:r>
    </w:p>
    <w:p>
      <w:pPr>
        <w:pStyle w:val="TextBody"/>
        <w:spacing w:before="0" w:after="0"/>
        <w:ind w:left="0" w:right="0" w:hanging="0"/>
        <w:rPr/>
      </w:pPr>
      <w:r>
        <w:rPr/>
        <w:t>​</w:t>
      </w:r>
    </w:p>
    <w:tbl>
      <w:tblPr>
        <w:tblW w:w="8362" w:type="dxa"/>
        <w:jc w:val="left"/>
        <w:tblInd w:w="0" w:type="dxa"/>
        <w:tblCellMar>
          <w:top w:w="0" w:type="dxa"/>
          <w:left w:w="0" w:type="dxa"/>
          <w:bottom w:w="0" w:type="dxa"/>
          <w:right w:w="0" w:type="dxa"/>
        </w:tblCellMar>
      </w:tblPr>
      <w:tblGrid>
        <w:gridCol w:w="4336"/>
        <w:gridCol w:w="146"/>
        <w:gridCol w:w="1156"/>
        <w:gridCol w:w="326"/>
        <w:gridCol w:w="991"/>
        <w:gridCol w:w="326"/>
        <w:gridCol w:w="1081"/>
      </w:tblGrid>
      <w:tr>
        <w:trPr/>
        <w:tc>
          <w:tcPr>
            <w:tcW w:w="4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753360" cy="175260"/>
                      <wp:effectExtent l="0" t="0" r="0" b="0"/>
                      <wp:wrapNone/>
                      <wp:docPr id="678" name="Frame671"/>
                      <a:graphic xmlns:a="http://schemas.openxmlformats.org/drawingml/2006/main">
                        <a:graphicData uri="http://schemas.microsoft.com/office/word/2010/wordprocessingShape">
                          <wps:wsp>
                            <wps:cNvSpPr txBox="1"/>
                            <wps:spPr>
                              <a:xfrm>
                                <a:off x="0" y="0"/>
                                <a:ext cx="275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92710" cy="175260"/>
                      <wp:effectExtent l="0" t="0" r="0" b="0"/>
                      <wp:wrapNone/>
                      <wp:docPr id="679" name="Frame67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734060" cy="175260"/>
                      <wp:effectExtent l="0" t="0" r="0" b="0"/>
                      <wp:wrapNone/>
                      <wp:docPr id="680" name="Frame67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1" name="Frame6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29285" cy="175260"/>
                      <wp:effectExtent l="0" t="0" r="0" b="0"/>
                      <wp:wrapNone/>
                      <wp:docPr id="682" name="Frame67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3" name="Frame6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86435" cy="175260"/>
                      <wp:effectExtent l="0" t="0" r="0" b="0"/>
                      <wp:wrapNone/>
                      <wp:docPr id="684" name="Frame677"/>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w: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w: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43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Unvested at January 1, 2020</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7,726,671</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4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1,249,178</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38.74</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(1,802,889)</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14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13,379,655</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14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(1,790,178)</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39.05</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Unvested at December 31, 2020</w:t>
            </w:r>
          </w:p>
        </w:tc>
        <w:tc>
          <w:tcPr>
            <w:tcW w:w="14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18,762,437</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3,137,540</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4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(64,990,673)</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45.36</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share options with shares issued to trusts</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68,616,887</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14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(2,248,496)</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48.40</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Unvested at December 31, 2021</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23,277,695</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41.21</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4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1,714,158</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(7,947,817)</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14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(2,446,370)</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Unvested at December 31, 2022</w:t>
            </w:r>
          </w:p>
        </w:tc>
        <w:tc>
          <w:tcPr>
            <w:tcW w:w="14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14,597,666</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Expected to vest at December 31, 2022</w:t>
            </w:r>
          </w:p>
        </w:tc>
        <w:tc>
          <w:tcPr>
            <w:tcW w:w="14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11,686,346</w:t>
            </w:r>
          </w:p>
        </w:tc>
        <w:tc>
          <w:tcPr>
            <w:tcW w:w="326" w:type="dxa"/>
            <w:tcBorders/>
            <w:shd w:fill="auto" w:val="clear"/>
            <w:vAlign w:val="center"/>
          </w:tcPr>
          <w:p>
            <w:pPr>
              <w:pStyle w:val="TableContents"/>
              <w:spacing w:before="0" w:after="0"/>
              <w:ind w:left="0" w:right="0" w:hanging="0"/>
              <w:jc w:val="right"/>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41.52</w:t>
            </w:r>
          </w:p>
        </w:tc>
        <w:tc>
          <w:tcPr>
            <w:tcW w:w="326" w:type="dxa"/>
            <w:tcBorders/>
            <w:shd w:fill="auto" w:val="clear"/>
            <w:vAlign w:val="center"/>
          </w:tcPr>
          <w:p>
            <w:pPr>
              <w:pStyle w:val="TableContents"/>
              <w:spacing w:before="0" w:after="0"/>
              <w:ind w:left="0" w:right="0" w:hanging="0"/>
              <w:jc w:val="right"/>
              <w:rPr/>
            </w:pPr>
            <w:r>
              <w:rPr/>
              <w:t>​</w:t>
            </w:r>
          </w:p>
        </w:tc>
        <w:tc>
          <w:tcPr>
            <w:tcW w:w="108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7.54</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share-based awards granted have 1) only service condition; 2) both service and performance conditions, where awards granted are only vested or exercisable upon the occurrence of an IPO or deemed liquidation events by the Group.</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 recognized share-based compensation, net of estimated forfeitures, using the graded vesting attribution method over the vesting term of the awards for the service condition awards.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20. Share-based compensation (Continued)</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The Group considered it is improbable that the IPO or deemed liquidation events performance conditions would be satisfied until the event occurred. As a result, the share-based compensation expenses of RMB1,235,497 for these awards were not recognized until June 30, 2021, which was near the completion of the Group’s IPO by using the graded-vesting method.</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of December 31, 2022, there were RMB1,649,071 of unrecognized compensation expenses related to the share options expected to be recognized over a weighted average period of 2.51 years.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there were RMB1,157,782 of unrecognized compensation expenses related to restricted shares and RSUs, expected to be recognized over a weighted average period of 2.12 years.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 Voyager’s share-based awards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the first quarter of 2021, Voyager Group Inc. (“Voyager”), a subsidiary of the Group, adopted 2020 Equity Incentive Plan (“Voyager Incentive Plan”) under which share options, restricted shares and RSUs may be granted to employees, directors and consultants of Voyager, its subsidiaries, the VIEs and VIEs’ subsidiaries and other related entities stipulated in the Voyager Incentive Plan. As of December 31, 2022, the maximum aggregate number of ordinary shares which could be issued pursuant to all awards under the Plan was 16,666,667 shares. The share-based compensation expenses of </w:t>
      </w:r>
      <w:r>
        <w:rPr>
          <w:rFonts w:ascii="Times New Roman;Times;serif" w:hAnsi="Times New Roman;Times;serif"/>
          <w:sz w:val="20"/>
          <w:highlight w:val="white"/>
        </w:rPr>
        <w:t>RMB221,178</w:t>
      </w:r>
      <w:r>
        <w:rPr>
          <w:rFonts w:ascii="Times New Roman;Times;serif" w:hAnsi="Times New Roman;Times;serif"/>
          <w:sz w:val="20"/>
        </w:rPr>
        <w:t xml:space="preserve"> and RMB 181,379 were recognized in the consolidated financial statements for the years ended December 31, 2021 and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Share-based awards granted under the Voyager Incentive Plan have a contractual term of seven years from the stated grant date and are generally subject to a four-year or five-year vesting schedule as determined by the administrator of the plans. Depending on the nature, share-based awards generally vest 25% or 20% upon the first anniversary of the vesting commencement date, and 25% or 20% every year thereafter. Furthermore, certain share-based awards are both service and performance condition, where awards granted are only vested upon the occurrence of an IPO or deemed liquidation events by Voyager.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21. Convertible redeemable non-controlling interests and convertible non-controlling interests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Financing transaction of Soda Technology Inc.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and 2021, Soda Technology Inc. (“Soda”), the Group’s subsidiary, issued Series A preferred shares and B preferred shares (collectively as the “Soda Preferred Shares”) to external investors, including an entity controlled by Softbank (Note 25) and the Group with an aggregate cash consideration of US$1,264,000. Soda, through its subsidiaries and VIE, primarily engages in bike and e-bike sharing business. As of December 31, 2022, the Group continued to hold the majority of total equity interests in Soda on a fully-diluted basis.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Financing transaction of Voyager Group Inc.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and 2021, Voyager, the Group’s subsidiary, issued Series A preferred shares and Series B preferred shares (the “Voyager Preferred Shares”) to external investors, including an entity controlled by Softbank (Note 25) and the Group with an aggregate cash consideration of an aggregate amount of US$825,000. Voyager, through its subsidiaries and VIE, primarily engages in the development and commercialization of autonomous vehicles. As of December 31, 2022, the Group continued to hold the majority of total equity interests on a fully diluted basis.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i w:val="false"/>
          <w:caps w:val="false"/>
          <w:smallCaps w:val="false"/>
          <w:sz w:val="20"/>
        </w:rPr>
      </w:pPr>
      <w:bookmarkStart w:id="2394" w:name="Tc_4fuWPyP9B0-x0erOeyZrSg_13_0"/>
      <w:bookmarkStart w:id="2395" w:name="Tc_5_YRCgsRFEiqQCh1TCNF3w_12_4"/>
      <w:bookmarkStart w:id="2396" w:name="Tc_NWvVpFGQZUKU6qRoQnHrDw_12_0"/>
      <w:bookmarkStart w:id="2397" w:name="Tc_cZs4HouRUEagxGtafZmVLQ_11_4"/>
      <w:bookmarkStart w:id="2398" w:name="Tc_uDTh2rQ8TUe93caI0o0Xdw_11_0"/>
      <w:bookmarkStart w:id="2399" w:name="Tc_YbZffd9njUaQMe_LMpFJbg_10_0"/>
      <w:bookmarkStart w:id="2400" w:name="Tc_b8vzpoyX1kuzTmAx-qIhAg_9_4"/>
      <w:bookmarkStart w:id="2401" w:name="Tc_Z34kw2CHFEekcka-Cr517Q_9_0"/>
      <w:bookmarkStart w:id="2402" w:name="Tc_DKgeAIIskk2HOdY6b3shHw_8_0"/>
      <w:bookmarkStart w:id="2403" w:name="Tc_sh2bJNbCEUyuqC15Fb3fnw_7_0"/>
      <w:bookmarkStart w:id="2404" w:name="Tc_ma9r9sevrUChJMuaexIPEw_6_4"/>
      <w:bookmarkStart w:id="2405" w:name="Tc_0_V8YgB9HUOOdGN2ngIg4A_6_0"/>
      <w:bookmarkStart w:id="2406" w:name="Tc_Tog6nM6tfkio4WkzMDOljQ_5_0"/>
      <w:bookmarkStart w:id="2407" w:name="Tc_eP_ZazacXEaQSbuciWUZ6g_4_4"/>
      <w:bookmarkStart w:id="2408" w:name="Tc_PHODUSLF1kqiwD-or8o11A_4_2"/>
      <w:bookmarkStart w:id="2409" w:name="Tc_N6BNd7ImZ0uP2OxWYBpZcQ_4_0"/>
      <w:bookmarkStart w:id="2410" w:name="Tc__L5fgQtDH0S3yth_B1EIWw_3_4"/>
      <w:bookmarkStart w:id="2411" w:name="Tc_nAp8AB73CkSlFDTPbgAe3A_3_2"/>
      <w:bookmarkStart w:id="2412" w:name="Tc_J3HvZNbgqEqR3UYJAFAd9Q_2_4"/>
      <w:bookmarkStart w:id="2413" w:name="Tc_-lP0UsTP9EiQBsVQ0FTN6A_2_2"/>
      <w:bookmarkStart w:id="2414" w:name="Tc_nB4Eny9w6Uiz5zkeIRX9JQ_1_4"/>
      <w:bookmarkStart w:id="2415" w:name="Tc_HAH5RNW38k-suiLITMDVDw_1_2"/>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r>
        <w:rPr>
          <w:rFonts w:ascii="Times New Roman;Times;serif" w:hAnsi="Times New Roman;Times;serif"/>
          <w:b/>
          <w:i w:val="false"/>
          <w:caps w:val="false"/>
          <w:smallCaps w:val="false"/>
          <w:sz w:val="20"/>
        </w:rPr>
        <w:t>21. Convertible redeemable non-controlling interests and convertible non-controlling interests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Financing transaction of City Puzzle Holding Limited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2021, City Puzzle Holdings Limited (“City Puzzle”), the Group’s subsidiary, issued Series A and Series A+ preferred shares (collectively as the “City Puzzle Preferred Shares”) to external investors and the Group with an aggregate cash consideration of US$1,340,000. City Puzzle primarily engages in providing intra-city freight services. As of December 31, 2022, the Group continued to hold the majority of total equity interests on a fully diluted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determined that the Preferred Shares issued from the financing transactions aforementioned should be classified as mezzanine equity since they are contingently redeemable upon certain events. The convertible redeemable non-controlling interests and convertible non-controlling interests consist of the following: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026"/>
        <w:gridCol w:w="326"/>
        <w:gridCol w:w="1936"/>
        <w:gridCol w:w="326"/>
        <w:gridCol w:w="1591"/>
      </w:tblGrid>
      <w:tr>
        <w:trPr/>
        <w:tc>
          <w:tcPr>
            <w:tcW w:w="6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3826510" cy="175260"/>
                      <wp:effectExtent l="0" t="0" r="0" b="0"/>
                      <wp:wrapNone/>
                      <wp:docPr id="685" name="Frame678"/>
                      <a:graphic xmlns:a="http://schemas.openxmlformats.org/drawingml/2006/main">
                        <a:graphicData uri="http://schemas.microsoft.com/office/word/2010/wordprocessingShape">
                          <wps:wsp>
                            <wps:cNvSpPr txBox="1"/>
                            <wps:spPr>
                              <a:xfrm>
                                <a:off x="0" y="0"/>
                                <a:ext cx="3826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6" name="Frame6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229360" cy="175260"/>
                      <wp:effectExtent l="0" t="0" r="0" b="0"/>
                      <wp:wrapNone/>
                      <wp:docPr id="687" name="Frame680"/>
                      <a:graphic xmlns:a="http://schemas.openxmlformats.org/drawingml/2006/main">
                        <a:graphicData uri="http://schemas.microsoft.com/office/word/2010/wordprocessingShape">
                          <wps:wsp>
                            <wps:cNvSpPr txBox="1"/>
                            <wps:spPr>
                              <a:xfrm>
                                <a:off x="0" y="0"/>
                                <a:ext cx="1229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07010" cy="175260"/>
                      <wp:effectExtent l="0" t="0" r="0" b="0"/>
                      <wp:wrapNone/>
                      <wp:docPr id="688" name="Frame6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010285" cy="175260"/>
                      <wp:effectExtent l="0" t="0" r="0" b="0"/>
                      <wp:wrapNone/>
                      <wp:docPr id="689" name="Frame682"/>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redeemable</w:t>
            </w:r>
          </w:p>
        </w:tc>
        <w:tc>
          <w:tcPr>
            <w:tcW w:w="326" w:type="dxa"/>
            <w:tcBorders/>
            <w:shd w:fill="auto" w:val="clear"/>
            <w:vAlign w:val="center"/>
          </w:tcPr>
          <w:p>
            <w:pPr>
              <w:pStyle w:val="TableContents"/>
              <w:spacing w:before="0" w:after="0"/>
              <w:ind w:left="0" w:right="0" w:hanging="0"/>
              <w:jc w:val="center"/>
              <w:rPr/>
            </w:pPr>
            <w:r>
              <w:rPr/>
              <w:t>​</w:t>
            </w:r>
          </w:p>
        </w:tc>
        <w:tc>
          <w:tcPr>
            <w:tcW w:w="159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Convertible non</w:t>
            </w:r>
            <w:r>
              <w:rPr>
                <w:rFonts w:ascii="Times New Roman;Times;serif" w:hAnsi="Times New Roman;Times;serif"/>
                <w:sz w:val="16"/>
              </w:rPr>
              <w:noBreakHyphen/>
              <w:t> </w:t>
            </w:r>
          </w:p>
        </w:tc>
      </w:tr>
      <w:tr>
        <w:trPr/>
        <w:tc>
          <w:tcPr>
            <w:tcW w:w="60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3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non</w:t>
            </w:r>
            <w:r>
              <w:rPr>
                <w:rFonts w:ascii="Times New Roman;Times;serif" w:hAnsi="Times New Roman;Times;serif"/>
                <w:sz w:val="16"/>
              </w:rPr>
              <w:noBreakHyphen/>
            </w:r>
            <w:r>
              <w:rPr>
                <w:rFonts w:ascii="Times New Roman;Times;serif" w:hAnsi="Times New Roman;Times;serif"/>
                <w:b/>
                <w:sz w:val="16"/>
              </w:rPr>
              <w:t>controlling interests</w:t>
            </w:r>
          </w:p>
        </w:tc>
        <w:tc>
          <w:tcPr>
            <w:tcW w:w="326" w:type="dxa"/>
            <w:tcBorders/>
            <w:shd w:fill="auto" w:val="clear"/>
            <w:vAlign w:val="center"/>
          </w:tcPr>
          <w:p>
            <w:pPr>
              <w:pStyle w:val="TableContents"/>
              <w:spacing w:before="0" w:after="0"/>
              <w:ind w:left="0" w:right="0" w:hanging="0"/>
              <w:jc w:val="center"/>
              <w:rPr/>
            </w:pPr>
            <w:r>
              <w:rPr/>
              <w:t>​</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 interests</w:t>
            </w:r>
          </w:p>
        </w:tc>
      </w:tr>
      <w:tr>
        <w:trPr/>
        <w:tc>
          <w:tcPr>
            <w:tcW w:w="60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9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02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January 1, 2020</w:t>
            </w:r>
          </w:p>
        </w:tc>
        <w:tc>
          <w:tcPr>
            <w:tcW w:w="326" w:type="dxa"/>
            <w:tcBorders/>
            <w:shd w:fill="CCEEFF" w:val="clear"/>
            <w:vAlign w:val="center"/>
          </w:tcPr>
          <w:p>
            <w:pPr>
              <w:pStyle w:val="TableContents"/>
              <w:spacing w:before="0" w:after="0"/>
              <w:ind w:left="0" w:right="0" w:hanging="0"/>
              <w:rPr/>
            </w:pPr>
            <w:r>
              <w:rPr/>
              <w:t>​</w:t>
            </w:r>
          </w:p>
        </w:tc>
        <w:tc>
          <w:tcPr>
            <w:tcW w:w="19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pPr>
            <w:r>
              <w:rPr/>
              <w:t>—</w:t>
            </w:r>
          </w:p>
        </w:tc>
      </w:tr>
      <w:tr>
        <w:trPr/>
        <w:tc>
          <w:tcPr>
            <w:tcW w:w="60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convertible redeemable non-controlling interests and convertible non-controlling interests, net of issuance costs</w:t>
            </w:r>
          </w:p>
        </w:tc>
        <w:tc>
          <w:tcPr>
            <w:tcW w:w="326" w:type="dxa"/>
            <w:tcBorders/>
            <w:shd w:fill="auto" w:val="clear"/>
            <w:vAlign w:val="center"/>
          </w:tcPr>
          <w:p>
            <w:pPr>
              <w:pStyle w:val="TableContents"/>
              <w:spacing w:before="0" w:after="0"/>
              <w:ind w:left="0" w:right="0" w:hanging="0"/>
              <w:rPr/>
            </w:pPr>
            <w:r>
              <w:rPr/>
              <w:t>​</w:t>
            </w:r>
          </w:p>
        </w:tc>
        <w:tc>
          <w:tcPr>
            <w:tcW w:w="19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3,180,218</w:t>
            </w:r>
          </w:p>
        </w:tc>
        <w:tc>
          <w:tcPr>
            <w:tcW w:w="326"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99,851</w:t>
            </w:r>
          </w:p>
        </w:tc>
      </w:tr>
      <w:tr>
        <w:trPr/>
        <w:tc>
          <w:tcPr>
            <w:tcW w:w="60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CCEEFF" w:val="clear"/>
            <w:vAlign w:val="center"/>
          </w:tcPr>
          <w:p>
            <w:pPr>
              <w:pStyle w:val="TableContents"/>
              <w:spacing w:before="0" w:after="0"/>
              <w:ind w:left="0" w:right="0" w:hanging="0"/>
              <w:rPr/>
            </w:pPr>
            <w:r>
              <w:rPr/>
              <w:t>​</w:t>
            </w:r>
          </w:p>
        </w:tc>
        <w:tc>
          <w:tcPr>
            <w:tcW w:w="19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165,047</w:t>
            </w:r>
          </w:p>
        </w:tc>
        <w:tc>
          <w:tcPr>
            <w:tcW w:w="326" w:type="dxa"/>
            <w:tcBorders/>
            <w:shd w:fill="CCEEFF" w:val="clear"/>
            <w:vAlign w:val="center"/>
          </w:tcPr>
          <w:p>
            <w:pPr>
              <w:pStyle w:val="TableContents"/>
              <w:spacing w:before="0" w:after="0"/>
              <w:ind w:left="0" w:right="0" w:hanging="0"/>
              <w:rPr/>
            </w:pPr>
            <w:r>
              <w:rPr/>
              <w:t>​</w:t>
            </w:r>
          </w:p>
        </w:tc>
        <w:tc>
          <w:tcPr>
            <w:tcW w:w="15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02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2020</w:t>
            </w:r>
          </w:p>
        </w:tc>
        <w:tc>
          <w:tcPr>
            <w:tcW w:w="326" w:type="dxa"/>
            <w:tcBorders/>
            <w:shd w:fill="auto" w:val="clear"/>
            <w:vAlign w:val="center"/>
          </w:tcPr>
          <w:p>
            <w:pPr>
              <w:pStyle w:val="TableContents"/>
              <w:spacing w:before="0" w:after="0"/>
              <w:ind w:left="0" w:right="0" w:hanging="0"/>
              <w:rPr/>
            </w:pPr>
            <w:r>
              <w:rPr/>
              <w:t>​</w:t>
            </w:r>
          </w:p>
        </w:tc>
        <w:tc>
          <w:tcPr>
            <w:tcW w:w="19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3,345,265</w:t>
            </w:r>
          </w:p>
        </w:tc>
        <w:tc>
          <w:tcPr>
            <w:tcW w:w="326"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99,851</w:t>
            </w:r>
          </w:p>
        </w:tc>
      </w:tr>
      <w:tr>
        <w:trPr/>
        <w:tc>
          <w:tcPr>
            <w:tcW w:w="60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convertible redeemable non-controlling interests and convertible non-controlling interests, net of issuance costs</w:t>
            </w:r>
          </w:p>
        </w:tc>
        <w:tc>
          <w:tcPr>
            <w:tcW w:w="326" w:type="dxa"/>
            <w:tcBorders/>
            <w:shd w:fill="CCEEFF" w:val="clear"/>
            <w:vAlign w:val="center"/>
          </w:tcPr>
          <w:p>
            <w:pPr>
              <w:pStyle w:val="TableContents"/>
              <w:spacing w:before="0" w:after="0"/>
              <w:ind w:left="0" w:right="0" w:hanging="0"/>
              <w:rPr/>
            </w:pPr>
            <w:r>
              <w:rPr/>
              <w:t>​</w:t>
            </w:r>
          </w:p>
        </w:tc>
        <w:tc>
          <w:tcPr>
            <w:tcW w:w="19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8,225,007</w:t>
            </w:r>
          </w:p>
        </w:tc>
        <w:tc>
          <w:tcPr>
            <w:tcW w:w="326" w:type="dxa"/>
            <w:tcBorders/>
            <w:shd w:fill="CCEEFF" w:val="clear"/>
            <w:vAlign w:val="center"/>
          </w:tcPr>
          <w:p>
            <w:pPr>
              <w:pStyle w:val="TableContents"/>
              <w:spacing w:before="0" w:after="0"/>
              <w:ind w:left="0" w:right="0" w:hanging="0"/>
              <w:rPr/>
            </w:pPr>
            <w:r>
              <w:rPr/>
              <w:t> </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969,506</w:t>
            </w:r>
          </w:p>
        </w:tc>
      </w:tr>
      <w:tr>
        <w:trPr/>
        <w:tc>
          <w:tcPr>
            <w:tcW w:w="60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auto" w:val="clear"/>
            <w:vAlign w:val="center"/>
          </w:tcPr>
          <w:p>
            <w:pPr>
              <w:pStyle w:val="TableContents"/>
              <w:spacing w:before="0" w:after="0"/>
              <w:ind w:left="0" w:right="0" w:hanging="0"/>
              <w:rPr/>
            </w:pPr>
            <w:r>
              <w:rPr/>
              <w:t>​</w:t>
            </w:r>
          </w:p>
        </w:tc>
        <w:tc>
          <w:tcPr>
            <w:tcW w:w="19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687,617</w:t>
            </w:r>
          </w:p>
        </w:tc>
        <w:tc>
          <w:tcPr>
            <w:tcW w:w="326" w:type="dxa"/>
            <w:tcBorders/>
            <w:shd w:fill="auto" w:val="clear"/>
            <w:vAlign w:val="center"/>
          </w:tcPr>
          <w:p>
            <w:pPr>
              <w:pStyle w:val="TableContents"/>
              <w:spacing w:before="0" w:after="0"/>
              <w:ind w:left="0" w:right="0" w:hanging="0"/>
              <w:rPr/>
            </w:pPr>
            <w:r>
              <w:rPr/>
              <w:t> </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02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spacing w:before="0" w:after="0"/>
              <w:ind w:left="0" w:right="0" w:hanging="0"/>
              <w:rPr/>
            </w:pPr>
            <w:r>
              <w:rPr/>
              <w:t>​</w:t>
            </w:r>
          </w:p>
        </w:tc>
        <w:tc>
          <w:tcPr>
            <w:tcW w:w="19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12,257,889</w:t>
            </w:r>
          </w:p>
        </w:tc>
        <w:tc>
          <w:tcPr>
            <w:tcW w:w="326"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1,069,357</w:t>
            </w:r>
          </w:p>
        </w:tc>
      </w:tr>
      <w:tr>
        <w:trPr/>
        <w:tc>
          <w:tcPr>
            <w:tcW w:w="60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326" w:type="dxa"/>
            <w:tcBorders/>
            <w:shd w:fill="auto" w:val="clear"/>
            <w:vAlign w:val="center"/>
          </w:tcPr>
          <w:p>
            <w:pPr>
              <w:pStyle w:val="TableContents"/>
              <w:spacing w:before="0" w:after="0"/>
              <w:ind w:left="0" w:right="0" w:hanging="0"/>
              <w:rPr/>
            </w:pPr>
            <w:r>
              <w:rPr/>
              <w:t>​</w:t>
            </w:r>
          </w:p>
        </w:tc>
        <w:tc>
          <w:tcPr>
            <w:tcW w:w="19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898,649</w:t>
            </w:r>
          </w:p>
        </w:tc>
        <w:tc>
          <w:tcPr>
            <w:tcW w:w="326"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r>
      <w:tr>
        <w:trPr/>
        <w:tc>
          <w:tcPr>
            <w:tcW w:w="60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Repurchase of convertible redeemable non-controlling interests</w:t>
            </w:r>
          </w:p>
        </w:tc>
        <w:tc>
          <w:tcPr>
            <w:tcW w:w="326" w:type="dxa"/>
            <w:tcBorders/>
            <w:shd w:fill="CCEEFF" w:val="clear"/>
            <w:vAlign w:val="center"/>
          </w:tcPr>
          <w:p>
            <w:pPr>
              <w:pStyle w:val="TableContents"/>
              <w:spacing w:before="0" w:after="0"/>
              <w:ind w:left="0" w:right="0" w:hanging="0"/>
              <w:rPr/>
            </w:pPr>
            <w:r>
              <w:rPr/>
              <w:t>​</w:t>
            </w:r>
          </w:p>
        </w:tc>
        <w:tc>
          <w:tcPr>
            <w:tcW w:w="19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(145,962)</w:t>
            </w:r>
          </w:p>
        </w:tc>
        <w:tc>
          <w:tcPr>
            <w:tcW w:w="326" w:type="dxa"/>
            <w:tcBorders/>
            <w:shd w:fill="CCEEFF" w:val="clear"/>
            <w:vAlign w:val="center"/>
          </w:tcPr>
          <w:p>
            <w:pPr>
              <w:pStyle w:val="TableContents"/>
              <w:spacing w:before="0" w:after="0"/>
              <w:ind w:left="0" w:right="0" w:hanging="0"/>
              <w:rPr/>
            </w:pPr>
            <w:r>
              <w:rPr/>
              <w:t>​</w:t>
            </w:r>
          </w:p>
        </w:tc>
        <w:tc>
          <w:tcPr>
            <w:tcW w:w="15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02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auto" w:val="clear"/>
            <w:vAlign w:val="center"/>
          </w:tcPr>
          <w:p>
            <w:pPr>
              <w:pStyle w:val="TableContents"/>
              <w:spacing w:before="0" w:after="0"/>
              <w:ind w:left="0" w:right="0" w:hanging="0"/>
              <w:rPr/>
            </w:pPr>
            <w:r>
              <w:rPr/>
              <w:t>​</w:t>
            </w:r>
          </w:p>
        </w:tc>
        <w:tc>
          <w:tcPr>
            <w:tcW w:w="19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13,010,576</w:t>
            </w:r>
          </w:p>
        </w:tc>
        <w:tc>
          <w:tcPr>
            <w:tcW w:w="326" w:type="dxa"/>
            <w:tcBorders/>
            <w:shd w:fill="auto" w:val="clear"/>
            <w:vAlign w:val="center"/>
          </w:tcPr>
          <w:p>
            <w:pPr>
              <w:pStyle w:val="TableContents"/>
              <w:spacing w:before="0" w:after="0"/>
              <w:ind w:left="0" w:right="0" w:hanging="0"/>
              <w:rPr/>
            </w:pPr>
            <w:r>
              <w:rPr/>
              <w:t>​</w:t>
            </w:r>
          </w:p>
        </w:tc>
        <w:tc>
          <w:tcPr>
            <w:tcW w:w="159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1,069,357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Group accounted for the difference between the repurchase price and the carrying value of the repurchased convertible redeemable non-controlling interests pursuant to ASC 810-10-45-21A through 45-24 and recorded the difference of RMB15,764 in additional paid-in capital.</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416" w:name="_4d018676_1f3c_4f1d_8850_b1204f1ca41b"/>
      <w:bookmarkStart w:id="2417" w:name="Tc_XSgpiEHiC0GxtLEGDBbvHQ_24_0"/>
      <w:bookmarkStart w:id="2418" w:name="Tc_aTeu5MaPxEqMgC908oslqA_23_0"/>
      <w:bookmarkStart w:id="2419" w:name="Tc_gg5wt02rtUCMGey4n_FVnQ_22_0"/>
      <w:bookmarkStart w:id="2420" w:name="Tc_z7KS0CN6l0qQ90qwx7AloA_21_0"/>
      <w:bookmarkStart w:id="2421" w:name="Tc_oauE5Dxsl0G0UI329HyAPw_20_0"/>
      <w:bookmarkStart w:id="2422" w:name="Tc_Oj8ncZlAjU2yaJxQ9yukSg_19_0"/>
      <w:bookmarkStart w:id="2423" w:name="Tc_8YyWedv6lkq4gBIXQuS5QQ_18_0"/>
      <w:bookmarkStart w:id="2424" w:name="Tc_8rNveCz7XUSBRgnnzp-u5A_17_0"/>
      <w:bookmarkStart w:id="2425" w:name="Tc_FHDc_5yb3k-jv3A19A1yyQ_16_0"/>
      <w:bookmarkStart w:id="2426" w:name="Tc_u1RFUVabbki25Wii5Jyhsw_15_7"/>
      <w:bookmarkStart w:id="2427" w:name="Tc_cyhYQJaTx0yrdlrInEmzHw_15_0"/>
      <w:bookmarkStart w:id="2428" w:name="Tc_1rAneZOp80GQ3Cdxofd5dg_14_0"/>
      <w:bookmarkStart w:id="2429" w:name="Tc_0cmK446DfUe47Yf1w4X46w_13_0"/>
      <w:bookmarkStart w:id="2430" w:name="Tc_dM50UqYj8kKGKqCDqfmDiA_12_0"/>
      <w:bookmarkStart w:id="2431" w:name="Tc_0FNqdqw99022pdJCQmb-lw_11_0"/>
      <w:bookmarkStart w:id="2432" w:name="Tc_Qk9YT2_o102NhzhaN4NyuA_10_0"/>
      <w:bookmarkStart w:id="2433" w:name="Tc_bu1kya07dEqLW8gDsS91AA_9_0"/>
      <w:bookmarkStart w:id="2434" w:name="Tc_gtYauZWUWUChOD11txqEFQ_8_0"/>
      <w:bookmarkStart w:id="2435" w:name="Tc_FHLmp1xu0UKsjWbF7gPxLw_7_0"/>
      <w:bookmarkStart w:id="2436" w:name="Tc_4RZYGklCBUCRdS6j13ElLA_6_0"/>
      <w:bookmarkStart w:id="2437" w:name="Tc_fUnBrAU6A0SgdeUTeOp21w_5_0"/>
      <w:bookmarkStart w:id="2438" w:name="Tc_n-o6YLwyAki3iedEE52PdA_4_4"/>
      <w:bookmarkStart w:id="2439" w:name="Tc_Vwe0Ojjq1EqSYkmh5X-Y0w_3_6"/>
      <w:bookmarkStart w:id="2440" w:name="Tc_ZhngBPkbREekaJCL-ZwYmg_3_4"/>
      <w:bookmarkStart w:id="2441" w:name="Tc_OqVYOBJAy0ac1MPJ93Oekw_3_2"/>
      <w:bookmarkStart w:id="2442" w:name="Tc_X9f-RAgixUegdXLajavVrQ_3_0"/>
      <w:bookmarkStart w:id="2443" w:name="Tc_aLWHe9IxlkC7_akGBXK-cg_2_6"/>
      <w:bookmarkStart w:id="2444" w:name="Tc_xgfO5azYC0aL0vGIGFiPKg_2_4"/>
      <w:bookmarkStart w:id="2445" w:name="Tc_BgDdH9dN0kOvpGqUWyMCGg_1_6"/>
      <w:bookmarkStart w:id="2446" w:name="Tc_Z6y0XGWVQkai7rzz4tO_7Q_1_4"/>
      <w:bookmarkStart w:id="2447" w:name="_c4613f8b_1013_4629_9749_899c35b628ff"/>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r>
        <w:rPr>
          <w:rFonts w:ascii="Times New Roman;Times;serif" w:hAnsi="Times New Roman;Times;serif"/>
          <w:b/>
          <w:sz w:val="20"/>
        </w:rPr>
        <w:t>22. Convertible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issuances of convertible preferred shares immediately before the conversion upon the Group’s IPO.</w:t>
      </w:r>
    </w:p>
    <w:p>
      <w:pPr>
        <w:pStyle w:val="TextBody"/>
        <w:spacing w:before="0" w:after="0"/>
        <w:ind w:left="0" w:right="0" w:hanging="0"/>
        <w:rPr/>
      </w:pPr>
      <w:r>
        <w:rPr/>
        <w:t>​</w:t>
      </w:r>
    </w:p>
    <w:tbl>
      <w:tblPr>
        <w:tblW w:w="9353" w:type="dxa"/>
        <w:jc w:val="left"/>
        <w:tblInd w:w="0" w:type="dxa"/>
        <w:tblCellMar>
          <w:top w:w="0" w:type="dxa"/>
          <w:left w:w="0" w:type="dxa"/>
          <w:bottom w:w="0" w:type="dxa"/>
          <w:right w:w="0" w:type="dxa"/>
        </w:tblCellMar>
      </w:tblPr>
      <w:tblGrid>
        <w:gridCol w:w="3331"/>
        <w:gridCol w:w="326"/>
        <w:gridCol w:w="2731"/>
        <w:gridCol w:w="326"/>
        <w:gridCol w:w="886"/>
        <w:gridCol w:w="326"/>
        <w:gridCol w:w="1141"/>
        <w:gridCol w:w="286"/>
      </w:tblGrid>
      <w:tr>
        <w:trPr/>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15185" cy="175260"/>
                      <wp:effectExtent l="0" t="0" r="0" b="0"/>
                      <wp:wrapNone/>
                      <wp:docPr id="690" name="Frame683"/>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07010" cy="175260"/>
                      <wp:effectExtent l="0" t="0" r="0" b="0"/>
                      <wp:wrapNone/>
                      <wp:docPr id="691" name="Frame6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734185" cy="175260"/>
                      <wp:effectExtent l="0" t="0" r="0" b="0"/>
                      <wp:wrapNone/>
                      <wp:docPr id="692" name="Frame685"/>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07010" cy="175260"/>
                      <wp:effectExtent l="0" t="0" r="0" b="0"/>
                      <wp:wrapNone/>
                      <wp:docPr id="693" name="Frame6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562610" cy="175260"/>
                      <wp:effectExtent l="0" t="0" r="0" b="0"/>
                      <wp:wrapNone/>
                      <wp:docPr id="694" name="Frame68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07010" cy="175260"/>
                      <wp:effectExtent l="0" t="0" r="0" b="0"/>
                      <wp:wrapNone/>
                      <wp:docPr id="695" name="Frame6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724535" cy="175260"/>
                      <wp:effectExtent l="0" t="0" r="0" b="0"/>
                      <wp:wrapNone/>
                      <wp:docPr id="696" name="Frame68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81610" cy="175260"/>
                      <wp:effectExtent l="0" t="0" r="0" b="0"/>
                      <wp:wrapNone/>
                      <wp:docPr id="697" name="Frame690"/>
                      <a:graphic xmlns:a="http://schemas.openxmlformats.org/drawingml/2006/main">
                        <a:graphicData uri="http://schemas.microsoft.com/office/word/2010/wordprocessingShape">
                          <wps:wsp>
                            <wps:cNvSpPr txBox="1"/>
                            <wps:spPr>
                              <a:xfrm>
                                <a:off x="0" y="0"/>
                                <a:ext cx="181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7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286" w:type="dxa"/>
            <w:tcBorders/>
            <w:shd w:fill="auto" w:val="clear"/>
            <w:vAlign w:val="center"/>
          </w:tcPr>
          <w:p>
            <w:pPr>
              <w:pStyle w:val="TableContents"/>
              <w:spacing w:before="0" w:after="1"/>
              <w:ind w:left="0" w:right="0" w:hanging="0"/>
              <w:jc w:val="center"/>
              <w:rPr/>
            </w:pPr>
            <w:r>
              <w:rPr/>
              <w:t>​</w: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7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price </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286" w:type="dxa"/>
            <w:tcBorders/>
            <w:shd w:fill="auto" w:val="clear"/>
            <w:vAlign w:val="center"/>
          </w:tcPr>
          <w:p>
            <w:pPr>
              <w:pStyle w:val="TableContents"/>
              <w:spacing w:before="0" w:after="1"/>
              <w:ind w:left="0" w:right="0" w:hanging="0"/>
              <w:jc w:val="center"/>
              <w:rPr/>
            </w:pPr>
            <w:r>
              <w:rPr/>
              <w:t>​</w:t>
            </w:r>
          </w:p>
        </w:tc>
      </w:tr>
      <w:tr>
        <w:trPr/>
        <w:tc>
          <w:tcPr>
            <w:tcW w:w="333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Series</w:t>
            </w:r>
          </w:p>
        </w:tc>
        <w:tc>
          <w:tcPr>
            <w:tcW w:w="326" w:type="dxa"/>
            <w:tcBorders/>
            <w:shd w:fill="auto" w:val="clear"/>
            <w:vAlign w:val="center"/>
          </w:tcPr>
          <w:p>
            <w:pPr>
              <w:pStyle w:val="TableContents"/>
              <w:spacing w:before="0" w:after="1"/>
              <w:ind w:left="0" w:right="0" w:hanging="0"/>
              <w:jc w:val="center"/>
              <w:rPr/>
            </w:pPr>
            <w:r>
              <w:rPr/>
              <w:t>​</w:t>
            </w:r>
          </w:p>
        </w:tc>
        <w:tc>
          <w:tcPr>
            <w:tcW w:w="27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 date</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issued</w:t>
            </w:r>
          </w:p>
        </w:tc>
        <w:tc>
          <w:tcPr>
            <w:tcW w:w="286" w:type="dxa"/>
            <w:tcBorders/>
            <w:shd w:fill="auto" w:val="clear"/>
            <w:vAlign w:val="center"/>
          </w:tcPr>
          <w:p>
            <w:pPr>
              <w:pStyle w:val="TableContents"/>
              <w:spacing w:before="0" w:after="1"/>
              <w:ind w:left="0" w:right="0" w:hanging="0"/>
              <w:jc w:val="center"/>
              <w:rPr/>
            </w:pPr>
            <w:r>
              <w:rPr/>
              <w:t>​</w: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7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286" w:type="dxa"/>
            <w:tcBorders/>
            <w:shd w:fill="auto" w:val="clear"/>
            <w:vAlign w:val="center"/>
          </w:tcPr>
          <w:p>
            <w:pPr>
              <w:pStyle w:val="TableContents"/>
              <w:spacing w:before="0" w:after="1"/>
              <w:ind w:left="0" w:right="0" w:hanging="0"/>
              <w:jc w:val="center"/>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11.3970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12,180,250</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A-2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11.4423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9,145,501</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A-3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11.4423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10,668,684</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A-4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11.6866</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33,711,135</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A-5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12.0325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21,161,516</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A-6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February 2015</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12.7193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41,028,543</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A-7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March 2013</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0.0080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20,000,000</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A-8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April 2013</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0.1600</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12,500,000</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A-9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May 2013</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0.9600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3,125,000</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A-10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May 2013</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0.9600</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15,625,000</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A-11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January 2014</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2.9160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21,654,327</w:t>
            </w:r>
          </w:p>
        </w:tc>
        <w:tc>
          <w:tcPr>
            <w:tcW w:w="286" w:type="dxa"/>
            <w:tcBorders/>
            <w:shd w:fill="CCEEFF" w:val="clear"/>
            <w:vAlign w:val="center"/>
          </w:tcPr>
          <w:p>
            <w:pPr>
              <w:pStyle w:val="TableContents"/>
              <w:spacing w:lineRule="auto" w:line="240" w:before="0" w:after="1"/>
              <w:ind w:left="0" w:right="0" w:hanging="0"/>
              <w:jc w:val="right"/>
              <w:rPr>
                <w:rFonts w:ascii="Times New Roman;Times;serif" w:hAnsi="Times New Roman;Times;serif"/>
                <w:sz w:val="15"/>
              </w:rPr>
            </w:pPr>
            <w:r>
              <w:rPr>
                <w:rFonts w:ascii="Times New Roman;Times;serif" w:hAnsi="Times New Roman;Times;serif"/>
                <w:sz w:val="15"/>
              </w:rPr>
              <w:t>(i)</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A-12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January 2014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3.2400</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10,956,791</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A-13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April 2014</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20,915,034</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A-14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July 2014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7.3125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17,777,778</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A-15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December 2014 to January 2015</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12.2727</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54,592,596</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A-16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May 2015</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18.9705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12,756,674</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A-17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July 2015 to March 2016</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27.4262</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116,312,175</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A-18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April 2016 to August 2017</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38.2271</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111,432,959</w:t>
            </w:r>
          </w:p>
        </w:tc>
        <w:tc>
          <w:tcPr>
            <w:tcW w:w="286" w:type="dxa"/>
            <w:tcBorders/>
            <w:shd w:fill="auto" w:val="clear"/>
            <w:vAlign w:val="center"/>
          </w:tcPr>
          <w:p>
            <w:pPr>
              <w:pStyle w:val="TableContents"/>
              <w:spacing w:before="0" w:after="1"/>
              <w:ind w:left="0" w:right="0" w:hanging="0"/>
              <w:jc w:val="right"/>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B-1 convertible preferred shares</w:t>
            </w:r>
          </w:p>
        </w:tc>
        <w:tc>
          <w:tcPr>
            <w:tcW w:w="326" w:type="dxa"/>
            <w:tcBorders/>
            <w:shd w:fill="CCEEFF" w:val="clear"/>
            <w:vAlign w:val="center"/>
          </w:tcPr>
          <w:p>
            <w:pPr>
              <w:pStyle w:val="TableContents"/>
              <w:spacing w:before="0" w:after="1"/>
              <w:ind w:left="0" w:right="0" w:hanging="0"/>
              <w:rPr/>
            </w:pPr>
            <w:r>
              <w:rPr/>
              <w:t>​</w:t>
            </w:r>
          </w:p>
        </w:tc>
        <w:tc>
          <w:tcPr>
            <w:tcW w:w="2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August 2016 to October 2017</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119.0705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58,530,879</w:t>
            </w:r>
          </w:p>
        </w:tc>
        <w:tc>
          <w:tcPr>
            <w:tcW w:w="286" w:type="dxa"/>
            <w:tcBorders/>
            <w:shd w:fill="CCEEFF" w:val="clear"/>
            <w:vAlign w:val="center"/>
          </w:tcPr>
          <w:p>
            <w:pPr>
              <w:pStyle w:val="TableContents"/>
              <w:spacing w:before="0" w:after="1"/>
              <w:ind w:left="0" w:right="0" w:hanging="0"/>
              <w:jc w:val="right"/>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B-2 convertible preferred shares</w:t>
            </w:r>
          </w:p>
        </w:tc>
        <w:tc>
          <w:tcPr>
            <w:tcW w:w="326" w:type="dxa"/>
            <w:tcBorders/>
            <w:shd w:fill="auto" w:val="clear"/>
            <w:vAlign w:val="center"/>
          </w:tcPr>
          <w:p>
            <w:pPr>
              <w:pStyle w:val="TableContents"/>
              <w:spacing w:before="0" w:after="1"/>
              <w:ind w:left="0" w:right="0" w:hanging="0"/>
              <w:rPr/>
            </w:pPr>
            <w:r>
              <w:rPr/>
              <w:t>​</w:t>
            </w:r>
          </w:p>
        </w:tc>
        <w:tc>
          <w:tcPr>
            <w:tcW w:w="2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April 2017 to August 2019</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50.9321</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212,683,291</w:t>
            </w:r>
          </w:p>
        </w:tc>
        <w:tc>
          <w:tcPr>
            <w:tcW w:w="286" w:type="dxa"/>
            <w:tcBorders/>
            <w:shd w:fill="auto" w:val="clear"/>
            <w:vAlign w:val="center"/>
          </w:tcPr>
          <w:p>
            <w:pPr>
              <w:pStyle w:val="TableContents"/>
              <w:spacing w:before="0" w:after="1"/>
              <w:ind w:left="0" w:right="0" w:hanging="0"/>
              <w:jc w:val="right"/>
              <w:rPr/>
            </w:pPr>
            <w:r>
              <w:rPr/>
              <w:t>​</w:t>
            </w:r>
          </w:p>
        </w:tc>
      </w:tr>
    </w:tbl>
    <w:tbl>
      <w:tblPr>
        <w:tblW w:w="8882" w:type="dxa"/>
        <w:jc w:val="left"/>
        <w:tblInd w:w="0" w:type="dxa"/>
        <w:tblCellMar>
          <w:top w:w="0" w:type="dxa"/>
          <w:left w:w="0" w:type="dxa"/>
          <w:bottom w:w="0" w:type="dxa"/>
          <w:right w:w="0" w:type="dxa"/>
        </w:tblCellMar>
      </w:tblPr>
      <w:tblGrid>
        <w:gridCol w:w="256"/>
        <w:gridCol w:w="8626"/>
      </w:tblGrid>
      <w:tr>
        <w:trPr/>
        <w:tc>
          <w:tcPr>
            <w:tcW w:w="256"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(i)</w:t>
            </w:r>
          </w:p>
        </w:tc>
        <w:tc>
          <w:tcPr>
            <w:tcW w:w="862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Including 4,507,550</w:t>
            </w:r>
            <w:r>
              <w:rPr>
                <w:caps w:val="false"/>
                <w:smallCaps w:val="false"/>
              </w:rPr>
              <w:t xml:space="preserve"> </w:t>
            </w:r>
            <w:r>
              <w:rPr>
                <w:rFonts w:ascii="Times New Roman;Times;serif" w:hAnsi="Times New Roman;Times;serif"/>
                <w:b w:val="false"/>
                <w:i w:val="false"/>
                <w:caps w:val="false"/>
                <w:smallCaps w:val="false"/>
                <w:sz w:val="20"/>
              </w:rPr>
              <w:t>Series A-11 preferred shares legally issued in 2018 upon the exercise of the warrant.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22. Convertible preferred shares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major rights, preferences and privileges of the preferred shares are as follows: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Conversion rights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 series except for Series B-1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Each of the </w:t>
      </w:r>
      <w:r>
        <w:rPr>
          <w:rFonts w:ascii="Times New Roman;Times;serif" w:hAnsi="Times New Roman;Times;serif"/>
          <w:b w:val="false"/>
          <w:i w:val="false"/>
          <w:caps w:val="false"/>
          <w:smallCaps w:val="false"/>
          <w:sz w:val="20"/>
        </w:rPr>
        <w:t>preferred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convertible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option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of</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holder</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into</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Company</w:t>
      </w:r>
      <w:r>
        <w:rPr>
          <w:rFonts w:ascii="Times New Roman;Times;serif" w:hAnsi="Times New Roman;Times;serif"/>
          <w:sz w:val="20"/>
        </w:rPr>
        <w:t xml:space="preserve">’s </w:t>
      </w:r>
      <w:r>
        <w:rPr>
          <w:rFonts w:ascii="Times New Roman;Times;serif" w:hAnsi="Times New Roman;Times;serif"/>
          <w:b w:val="false"/>
          <w:i w:val="false"/>
          <w:caps w:val="false"/>
          <w:smallCaps w:val="false"/>
          <w:sz w:val="20"/>
        </w:rPr>
        <w:t>ordinary</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initial</w:t>
      </w:r>
      <w:r>
        <w:rPr>
          <w:rFonts w:ascii="Times New Roman;Times;serif" w:hAnsi="Times New Roman;Times;serif"/>
          <w:sz w:val="20"/>
        </w:rPr>
        <w:t xml:space="preserve"> conversion ratio of 1:1 at any time after the date of issuance of such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preferred shares shall be automatically converted into ordinary shares (i) immediately prior to the consummation of a Qualified IPO or (ii) specified by written consent of Series A-1 to A-15 preferred shares holders, and at least 75% of voting power of the outstanding Series A-16 preferred shares holders, at least 75% of voting power of the outstanding Series A-17 preferred shares holders, at least 75% of voting power of the outstanding Series A-18 preferred shares holders, and at least 75% of voting power of the outstanding Series B-2 preferred shares holders.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Series B-1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of the preferred shares is convertible, at the option of the holder, into the 3 ordinary shares at the option of the Series B-1 preferred shares holders upon: 1) the consummation of an Qualified IPO, 2) the transfer of Such Series B-1 preferred shares pursuant to the certain agreement; 3) liquidation, dissolution or winding up of Company; 4) other extraordinary corporate transaction for which the Series B-1 preferred shareholders receive different treatment relative to the treatment applicable to Series A-18 preferred shareholders as if each Series B-1 Preferred Share shall have been converted into three Series A-18 Preferred Shares.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Dividend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holders of preferred shares are entitled to receive non-cumulative dividends at a simple rate of 8% of original issuance price of preferred shares per annum as and when declared by the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dividends on preferred shares and ordinary shares have been declared for the years ended December 31, 2020 and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Liquidation preferences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of any liquidation, dissolution or winding up of the Company, either voluntarily or involuntarily, the holders of preferred shares have preference over holders of ordinary shares with respect to payment dividends and distribution of assets. Upon liquidation, each preferred shareholder is entitled to be on parity with each other, and prior and in preference to any distribution of any of assets or funds of the Company to the ordinary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holders of Series A-4 to A-18 and B-1 to B-2 preferred shares shall receive an amount equal to 100% </w:t>
      </w:r>
      <w:r>
        <w:rPr>
          <w:rFonts w:ascii="Times New Roman;Times;serif" w:hAnsi="Times New Roman;Times;serif"/>
          <w:b w:val="false"/>
          <w:i w:val="false"/>
          <w:caps w:val="false"/>
          <w:smallCaps w:val="false"/>
          <w:sz w:val="20"/>
        </w:rPr>
        <w:t>of</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original</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issuance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price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respect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to</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Series</w:t>
      </w:r>
      <w:r>
        <w:rPr>
          <w:rFonts w:ascii="Times New Roman;Times;serif" w:hAnsi="Times New Roman;Times;serif"/>
          <w:sz w:val="20"/>
        </w:rPr>
        <w:t xml:space="preserve"> A-4 to A-18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B-1 to B-2 </w:t>
      </w:r>
      <w:r>
        <w:rPr>
          <w:rFonts w:ascii="Times New Roman;Times;serif" w:hAnsi="Times New Roman;Times;serif"/>
          <w:b w:val="false"/>
          <w:i w:val="false"/>
          <w:caps w:val="false"/>
          <w:smallCaps w:val="false"/>
          <w:sz w:val="20"/>
        </w:rPr>
        <w:t>preferred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on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as</w:t>
      </w:r>
      <w:r>
        <w:rPr>
          <w:rFonts w:ascii="Times New Roman;Times;serif" w:hAnsi="Times New Roman;Times;serif"/>
          <w:sz w:val="20"/>
        </w:rPr>
        <w:t>-</w:t>
      </w:r>
      <w:r>
        <w:rPr>
          <w:rFonts w:ascii="Times New Roman;Times;serif" w:hAnsi="Times New Roman;Times;serif"/>
          <w:b w:val="false"/>
          <w:i w:val="false"/>
          <w:caps w:val="false"/>
          <w:smallCaps w:val="false"/>
          <w:sz w:val="20"/>
        </w:rPr>
        <w:t>converted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basis</w:t>
      </w:r>
      <w:r>
        <w:rPr>
          <w:rFonts w:ascii="Times New Roman;Times;serif" w:hAnsi="Times New Roman;Times;serif"/>
          <w:sz w:val="20"/>
        </w:rPr>
        <w:t xml:space="preserve">, plus all dividends declared and unpaid with respect thereto per share, then held by holders. The holders of Series A-1 to A-3 preferred shares shall receive an amount equal to 140% </w:t>
      </w:r>
      <w:r>
        <w:rPr>
          <w:rFonts w:ascii="Times New Roman;Times;serif" w:hAnsi="Times New Roman;Times;serif"/>
          <w:b w:val="false"/>
          <w:i w:val="false"/>
          <w:caps w:val="false"/>
          <w:smallCaps w:val="false"/>
          <w:sz w:val="20"/>
        </w:rPr>
        <w:t>of</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 original</w:t>
      </w:r>
      <w:r>
        <w:rPr>
          <w:rFonts w:ascii="Times New Roman;Times;serif" w:hAnsi="Times New Roman;Times;serif"/>
          <w:sz w:val="20"/>
        </w:rPr>
        <w:t xml:space="preserve"> issuance price with respect to Series A-1 to A-3 preferred shares on an as-converted basis, plus all dividends declared and unpaid with respect thereto per share, then held by holders.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448" w:name="Tc_YNFkcT0-rkiH8WGrxYC8kA_11_4"/>
      <w:bookmarkStart w:id="2449" w:name="Tc_H4PNHyfsyk-lfdtdQk4DuQ_11_2"/>
      <w:bookmarkStart w:id="2450" w:name="Tc_F4DSQF9gUEedCNgP_f-6-g_11_0"/>
      <w:bookmarkStart w:id="2451" w:name="Tc_QrbqptWIakuHOegwyvdvqw_10_4"/>
      <w:bookmarkStart w:id="2452" w:name="Tc__PwJ1R40wUK_MlnYKoxYww_10_2"/>
      <w:bookmarkStart w:id="2453" w:name="Tc_r5RKbGw9I0ykdv-Jw_zg3Q_10_0"/>
      <w:bookmarkStart w:id="2454" w:name="Tc_ZXubLnZUgkmkiWIN-7PEzA_9_0"/>
      <w:bookmarkStart w:id="2455" w:name="Tc_HM6-3wShTU2kOQdIu_kdCg_8_0"/>
      <w:bookmarkStart w:id="2456" w:name="Tc_GSeb61lluEOzqAhSPwXtfg_7_0"/>
      <w:bookmarkStart w:id="2457" w:name="Tc_bA1T0tG3j0ytTco8CCMDOA_6_0"/>
      <w:bookmarkStart w:id="2458" w:name="Tc_CVfEiPUbC0C_nIP43fBFcg_5_0"/>
      <w:bookmarkStart w:id="2459" w:name="Tc_V4OptynCHE2kesbSyWphdg_4_4"/>
      <w:bookmarkStart w:id="2460" w:name="Tc_3_bCGP_wpk6sl-8Kn_yDlA_3_4"/>
      <w:bookmarkStart w:id="2461" w:name="Tc_6kQ2SQgGbEmZryYwn2-JCQ_3_2"/>
      <w:bookmarkStart w:id="2462" w:name="Tc_T2R3hYTugUGUszMlxwV3iA_2_4"/>
      <w:bookmarkStart w:id="2463" w:name="Tc_lR6MvSA-rkOx9AdeN1ykfQ_2_2"/>
      <w:bookmarkStart w:id="2464" w:name="Tc_LNpnRCrig0qCxcjHSjyxjA_1_2"/>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r>
        <w:rPr>
          <w:rFonts w:ascii="Times New Roman;Times;serif" w:hAnsi="Times New Roman;Times;serif"/>
          <w:b/>
          <w:sz w:val="20"/>
        </w:rPr>
        <w:t>22. Convertible preferred shares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holder of each ordinary share issued and outstanding has one vote for each ordinary share held and the holder of each preferred shares (except for Series B-1 preferred shares) has the number of votes as equals to the number of ordinary shares then issuable upon their conversion into ordinary shares. The holder of each Series B-1 preferred shares has the number of votes as equal to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whole number of ordinary shares then issuable upon their conversion into ordinary shares except some specific matters.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Conversion upon IPO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July, 2021, upon the completion of the Company’s IPO, all the issued and outstanding preferred shares were automatically converted into ordinary shares based on aforementioned conversion price.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Accounting for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classified the preferred shares in the mezzanine equity of the consolidated balance sheets as they are considered as contingently redeemable upon a deemed liquidation event occurs in accordance with ASC 480-10-S99-3A (f).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determined that there was no beneficial conversion feature attributable to the preferred shares because the initial effective conversion prices of these preferred shares were higher than the fair value of the Company’s ordinary shares determined by the Company taking into account independent valuations.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movement of preferred shares for the years ended December 31, 2020, 2021 and 2022 is as follows:</w:t>
      </w:r>
    </w:p>
    <w:p>
      <w:pPr>
        <w:pStyle w:val="TextBody"/>
        <w:spacing w:before="0" w:after="0"/>
        <w:ind w:left="0" w:right="0" w:hanging="0"/>
        <w:rPr/>
      </w:pPr>
      <w:r>
        <w:rPr/>
        <w:t>​</w:t>
      </w:r>
    </w:p>
    <w:tbl>
      <w:tblPr>
        <w:tblW w:w="7750" w:type="dxa"/>
        <w:jc w:val="left"/>
        <w:tblInd w:w="0" w:type="dxa"/>
        <w:tblCellMar>
          <w:top w:w="0" w:type="dxa"/>
          <w:left w:w="0" w:type="dxa"/>
          <w:bottom w:w="0" w:type="dxa"/>
          <w:right w:w="0" w:type="dxa"/>
        </w:tblCellMar>
      </w:tblPr>
      <w:tblGrid>
        <w:gridCol w:w="4531"/>
        <w:gridCol w:w="326"/>
        <w:gridCol w:w="1261"/>
        <w:gridCol w:w="326"/>
        <w:gridCol w:w="1306"/>
      </w:tblGrid>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shd w:fill="auto" w:val="clear"/>
            <w:vAlign w:val="center"/>
          </w:tcPr>
          <w:p>
            <w:pPr>
              <w:pStyle w:val="TableContents"/>
              <w:spacing w:before="0" w:after="0"/>
              <w:ind w:left="0" w:right="0" w:hanging="0"/>
              <w:jc w:val="center"/>
              <w:rPr/>
            </w:pPr>
            <w:r>
              <w:rPr/>
              <w:t>​</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0"/>
              <w:ind w:left="0" w:right="0" w:hanging="0"/>
              <w:jc w:val="center"/>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January, 2020</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816,287,809</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189,847,244</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 of Series A</w:t>
              <w:noBreakHyphen/>
              <w:t>17 convertible preferred shares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(29,842)</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 of Series A</w:t>
              <w:noBreakHyphen/>
              <w:t>18 convertible preferred shares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(12,215)</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2020</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816,245,752</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189,838,979</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Conversion of preferred shares to ordinary shares</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(816,245,752)</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(189,838,979)</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accounted for repurchases of preferred shares as retirements of treasury shares whereby the difference between the repurchase price and the carrying value of the repurchased preferred shares is accounted for as deemed dividend to the holders of preferred shares which were recorded against additional paid-in capital. The deemed dividend resulting from repurchases of preferred shares was RMB872, and nil for the years ended December 31, 2020 and 2021,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23.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the authorised share capital of the Company is US$100,000 divided into 5,000,000,000 shares, comprising of (i) 4,000,000,000 Class A ordinary shares with a par value of US$0.00002 each, (ii) 500,000,000 Class B ordinary shares with a par value of US$0.00002 each, and (iii) 500,000,000 shares with a par value of US$0.00002 each of such class or classes (however designated) as the board of directors may determine in accordance with the post-offering memorandum and articles of association. Holders of Class A ordinary shares and Class B ordinary shares have the same rights except for voting and conversion rights. Each Class A ordinary share is entitled to one vote, and is not convertible into Class B ordinary shares under any circumstances. Each Class B ordinary share is entitled to ten votes and is convertible into one Class A ordinary share at any time by the holder thereof.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July 2021, the Company completed its IPO and 79,200,000 Class A ordinary shares were issued, with proceeds of RMB28,033,106 (US$4,331,978), net of underwriter commissions and relevant offering expenses. All of the preferred shares were automatically converted into 933,307,510 Class A ordinary shares immediately upon the completion of IPO.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2022, the Company issued 20,917,324 Class A ordinary shares and deposited the shares in its depositary bank pursuant to share incentive plans. The shares are subject to future exercise of options or vesting of RSUs pursuant to share incentive plans and deemed as treasury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2022, the Company filed a Form 25 with the SEC, in order to delist its ADSs from the New York Stock Exchange (“NYSE”). As a result, the Group’s ADSs were delisted from the NYSE on June 13, 2022. The Group’s ADSs have been quoted on OTC Pink under the symbol “DIDIY” thereafter.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1,084,058,607 Class A ordinary shares and 112,895,380 Class B ordinary shares were issued and outstanding by the Company.</w:t>
      </w:r>
    </w:p>
    <w:p>
      <w:pPr>
        <w:pStyle w:val="TextBody"/>
        <w:spacing w:before="0" w:after="240"/>
        <w:ind w:left="0" w:right="0" w:hanging="0"/>
        <w:rPr>
          <w:rFonts w:ascii="Times New Roman;Times;serif" w:hAnsi="Times New Roman;Times;serif"/>
          <w:b/>
          <w:sz w:val="20"/>
        </w:rPr>
      </w:pPr>
      <w:bookmarkStart w:id="2465" w:name="_abca97d6_4437_4207_b862_c447f9e68254"/>
      <w:bookmarkStart w:id="2466" w:name="Tc_AKvJxaUke0qRhIB1ZHZBDw_13_0"/>
      <w:bookmarkStart w:id="2467" w:name="Tc_P1dI87IAZ0Cvm92NKm1fZw_12_0"/>
      <w:bookmarkStart w:id="2468" w:name="Tc_uo_sELX-tkqaX2JJRNb2pg_11_0"/>
      <w:bookmarkStart w:id="2469" w:name="Tc_i3hwE-uYlEqJsRfbhFsi9A_10_0"/>
      <w:bookmarkStart w:id="2470" w:name="Tc_paamrASZf0aBd01P_R0eAg_9_0"/>
      <w:bookmarkStart w:id="2471" w:name="Tc_lyzNDSgd_0Sv34IOVFJ4MQ_8_0"/>
      <w:bookmarkStart w:id="2472" w:name="Tc_8HXJoquMN0GIdd4nzBhP7Q_7_6"/>
      <w:bookmarkStart w:id="2473" w:name="Tc_rGHw7ji2Uk-arl6oiD1Xjg_7_4"/>
      <w:bookmarkStart w:id="2474" w:name="Tc_PpkdAFwoo0WORqDOnDf38Q_7_0"/>
      <w:bookmarkStart w:id="2475" w:name="Tc_d1DRSEOlBUaeRi_MC_Ud9A_6_0"/>
      <w:bookmarkStart w:id="2476" w:name="Tc_o1gBFK90W0-lBvHp-vbiaQ_5_0"/>
      <w:bookmarkStart w:id="2477" w:name="Tc_uxgJbv9fmkaVbxDRIuc3YA_4_0"/>
      <w:bookmarkStart w:id="2478" w:name="Tc_8XaRDJGtbkeSkPmjsDdnmg_3_6"/>
      <w:bookmarkStart w:id="2479" w:name="Tc_1yjH6Tq5eUK26JthaUPYaw_3_4"/>
      <w:bookmarkStart w:id="2480" w:name="Tc_5uKJM3z-V0aTmaUcEdEMRQ_3_2"/>
      <w:bookmarkStart w:id="2481" w:name="Tc_cEz084w34Uix2-ujQI8KTA_2_6"/>
      <w:bookmarkStart w:id="2482" w:name="Tc_Z6fHLM2890KBuccB_9YgDA_2_4"/>
      <w:bookmarkStart w:id="2483" w:name="Tc_BpU3cPfLA0m0TcfVxtvC7g_2_2"/>
      <w:bookmarkStart w:id="2484" w:name="Tc_3QF69oQOuEm4C2jJ5r-aDw_1_2"/>
      <w:bookmarkStart w:id="2485" w:name="_de796b0c_7ff5_41cf_aaf9_8236065b64ce"/>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r>
        <w:rPr>
          <w:rFonts w:ascii="Times New Roman;Times;serif" w:hAnsi="Times New Roman;Times;serif"/>
          <w:b/>
          <w:sz w:val="20"/>
        </w:rPr>
        <w:t>24. Loss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Basic loss per share and diluted loss per share have been calculated in accordance with ASC 260 for the years ended December 31, 2020, 2021 and 2022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767"/>
        <w:gridCol w:w="266"/>
        <w:gridCol w:w="1151"/>
        <w:gridCol w:w="266"/>
        <w:gridCol w:w="1151"/>
        <w:gridCol w:w="266"/>
        <w:gridCol w:w="1338"/>
      </w:tblGrid>
      <w:tr>
        <w:trPr/>
        <w:tc>
          <w:tcPr>
            <w:tcW w:w="57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3662045" cy="175260"/>
                      <wp:effectExtent l="0" t="0" r="0" b="0"/>
                      <wp:wrapNone/>
                      <wp:docPr id="698" name="Frame691"/>
                      <a:graphic xmlns:a="http://schemas.openxmlformats.org/drawingml/2006/main">
                        <a:graphicData uri="http://schemas.microsoft.com/office/word/2010/wordprocessingShape">
                          <wps:wsp>
                            <wps:cNvSpPr txBox="1"/>
                            <wps:spPr>
                              <a:xfrm>
                                <a:off x="0" y="0"/>
                                <a:ext cx="3662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68910" cy="175260"/>
                      <wp:effectExtent l="0" t="0" r="0" b="0"/>
                      <wp:wrapNone/>
                      <wp:docPr id="699" name="Frame69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730885" cy="175260"/>
                      <wp:effectExtent l="0" t="0" r="0" b="0"/>
                      <wp:wrapNone/>
                      <wp:docPr id="700" name="Frame693"/>
                      <a:graphic xmlns:a="http://schemas.openxmlformats.org/drawingml/2006/main">
                        <a:graphicData uri="http://schemas.microsoft.com/office/word/2010/wordprocessingShape">
                          <wps:wsp>
                            <wps:cNvSpPr txBox="1"/>
                            <wps:spPr>
                              <a:xfrm>
                                <a:off x="0" y="0"/>
                                <a:ext cx="73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68910" cy="175260"/>
                      <wp:effectExtent l="0" t="0" r="0" b="0"/>
                      <wp:wrapNone/>
                      <wp:docPr id="701" name="Frame69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730885" cy="175260"/>
                      <wp:effectExtent l="0" t="0" r="0" b="0"/>
                      <wp:wrapNone/>
                      <wp:docPr id="702" name="Frame695"/>
                      <a:graphic xmlns:a="http://schemas.openxmlformats.org/drawingml/2006/main">
                        <a:graphicData uri="http://schemas.microsoft.com/office/word/2010/wordprocessingShape">
                          <wps:wsp>
                            <wps:cNvSpPr txBox="1"/>
                            <wps:spPr>
                              <a:xfrm>
                                <a:off x="0" y="0"/>
                                <a:ext cx="73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68910" cy="175260"/>
                      <wp:effectExtent l="0" t="0" r="0" b="0"/>
                      <wp:wrapNone/>
                      <wp:docPr id="703" name="Frame69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849630" cy="175260"/>
                      <wp:effectExtent l="0" t="0" r="0" b="0"/>
                      <wp:wrapNone/>
                      <wp:docPr id="704" name="Frame697"/>
                      <a:graphic xmlns:a="http://schemas.openxmlformats.org/drawingml/2006/main">
                        <a:graphicData uri="http://schemas.microsoft.com/office/word/2010/wordprocessingShape">
                          <wps:wsp>
                            <wps:cNvSpPr txBox="1"/>
                            <wps:spPr>
                              <a:xfrm>
                                <a:off x="0" y="0"/>
                                <a:ext cx="849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67"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jc w:val="center"/>
              <w:rPr/>
            </w:pPr>
            <w:r>
              <w:rPr/>
              <w:t>​</w:t>
            </w:r>
          </w:p>
        </w:tc>
        <w:tc>
          <w:tcPr>
            <w:tcW w:w="417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67"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jc w:val="center"/>
              <w:rPr/>
            </w:pPr>
            <w:r>
              <w:rPr/>
              <w:t>​</w:t>
            </w:r>
          </w:p>
        </w:tc>
        <w:tc>
          <w:tcPr>
            <w:tcW w:w="11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6" w:type="dxa"/>
            <w:tcBorders/>
            <w:shd w:fill="auto" w:val="clear"/>
            <w:vAlign w:val="center"/>
          </w:tcPr>
          <w:p>
            <w:pPr>
              <w:pStyle w:val="TableContents"/>
              <w:spacing w:before="0" w:after="1"/>
              <w:ind w:left="0" w:right="0" w:hanging="0"/>
              <w:jc w:val="center"/>
              <w:rPr/>
            </w:pPr>
            <w:r>
              <w:rPr/>
              <w:t>​</w:t>
            </w:r>
          </w:p>
        </w:tc>
        <w:tc>
          <w:tcPr>
            <w:tcW w:w="11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6" w:type="dxa"/>
            <w:tcBorders/>
            <w:shd w:fill="auto" w:val="clear"/>
            <w:vAlign w:val="center"/>
          </w:tcPr>
          <w:p>
            <w:pPr>
              <w:pStyle w:val="TableContents"/>
              <w:spacing w:before="0" w:after="1"/>
              <w:ind w:left="0" w:right="0" w:hanging="0"/>
              <w:jc w:val="center"/>
              <w:rPr/>
            </w:pPr>
            <w:r>
              <w:rPr/>
              <w:t>​</w:t>
            </w:r>
          </w:p>
        </w:tc>
        <w:tc>
          <w:tcPr>
            <w:tcW w:w="133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67"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jc w:val="center"/>
              <w:rPr/>
            </w:pPr>
            <w:r>
              <w:rPr/>
              <w:t>   </w:t>
            </w:r>
          </w:p>
        </w:tc>
        <w:tc>
          <w:tcPr>
            <w:tcW w:w="11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66" w:type="dxa"/>
            <w:tcBorders/>
            <w:shd w:fill="auto" w:val="clear"/>
            <w:vAlign w:val="center"/>
          </w:tcPr>
          <w:p>
            <w:pPr>
              <w:pStyle w:val="TableContents"/>
              <w:spacing w:before="0" w:after="1"/>
              <w:ind w:left="0" w:right="0" w:hanging="0"/>
              <w:jc w:val="center"/>
              <w:rPr/>
            </w:pPr>
            <w:r>
              <w:rPr/>
              <w:t>   </w:t>
            </w:r>
          </w:p>
        </w:tc>
        <w:tc>
          <w:tcPr>
            <w:tcW w:w="11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66" w:type="dxa"/>
            <w:tcBorders/>
            <w:shd w:fill="auto" w:val="clear"/>
            <w:vAlign w:val="center"/>
          </w:tcPr>
          <w:p>
            <w:pPr>
              <w:pStyle w:val="TableContents"/>
              <w:spacing w:before="0" w:after="1"/>
              <w:ind w:left="0" w:right="0" w:hanging="0"/>
              <w:jc w:val="center"/>
              <w:rPr/>
            </w:pPr>
            <w:r>
              <w:rPr/>
              <w:t>   </w:t>
            </w:r>
          </w:p>
        </w:tc>
        <w:tc>
          <w:tcPr>
            <w:tcW w:w="133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67"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Numerator:</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1338" w:type="dxa"/>
            <w:tcBorders/>
            <w:shd w:fill="CCEEFF" w:val="clear"/>
            <w:vAlign w:val="center"/>
          </w:tcPr>
          <w:p>
            <w:pPr>
              <w:pStyle w:val="TableContents"/>
              <w:spacing w:before="0" w:after="1"/>
              <w:ind w:left="0" w:right="0" w:hanging="0"/>
              <w:rPr/>
            </w:pPr>
            <w:r>
              <w:rPr/>
              <w:t>​</w:t>
            </w:r>
          </w:p>
        </w:tc>
      </w:tr>
      <w:tr>
        <w:trPr/>
        <w:tc>
          <w:tcPr>
            <w:tcW w:w="576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DiDi Global Inc.</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(10,514,498)</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(49,343,664)</w:t>
            </w:r>
          </w:p>
        </w:tc>
        <w:tc>
          <w:tcPr>
            <w:tcW w:w="266" w:type="dxa"/>
            <w:tcBorders/>
            <w:shd w:fill="auto" w:val="clear"/>
            <w:vAlign w:val="center"/>
          </w:tcPr>
          <w:p>
            <w:pPr>
              <w:pStyle w:val="TableContents"/>
              <w:spacing w:before="0" w:after="1"/>
              <w:ind w:left="0" w:right="0" w:hanging="0"/>
              <w:rPr/>
            </w:pPr>
            <w:r>
              <w:rPr/>
              <w:t>​</w:t>
            </w:r>
          </w:p>
        </w:tc>
        <w:tc>
          <w:tcPr>
            <w:tcW w:w="13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(23,783,321)</w:t>
            </w:r>
          </w:p>
        </w:tc>
      </w:tr>
      <w:tr>
        <w:trPr/>
        <w:tc>
          <w:tcPr>
            <w:tcW w:w="576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Accretion of convertible redeemable non-controlling interests to redemption value</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(165,047)</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(687,617)</w:t>
            </w:r>
          </w:p>
        </w:tc>
        <w:tc>
          <w:tcPr>
            <w:tcW w:w="266" w:type="dxa"/>
            <w:tcBorders/>
            <w:shd w:fill="CCEEFF" w:val="clear"/>
            <w:vAlign w:val="center"/>
          </w:tcPr>
          <w:p>
            <w:pPr>
              <w:pStyle w:val="TableContents"/>
              <w:spacing w:before="0" w:after="1"/>
              <w:ind w:left="0" w:right="0" w:hanging="0"/>
              <w:rPr/>
            </w:pPr>
            <w:r>
              <w:rPr/>
              <w:t>​</w:t>
            </w:r>
          </w:p>
        </w:tc>
        <w:tc>
          <w:tcPr>
            <w:tcW w:w="13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(898,649)</w:t>
            </w:r>
          </w:p>
        </w:tc>
      </w:tr>
      <w:tr>
        <w:trPr/>
        <w:tc>
          <w:tcPr>
            <w:tcW w:w="576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dividends to preferred shareholders upon repurchases of convertible preferred shares</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1338" w:type="dxa"/>
            <w:tcBorders/>
            <w:shd w:fill="auto" w:val="clear"/>
            <w:vAlign w:val="center"/>
          </w:tcPr>
          <w:p>
            <w:pPr>
              <w:pStyle w:val="TableContents"/>
              <w:spacing w:before="0" w:after="1"/>
              <w:ind w:left="0" w:right="0" w:hanging="0"/>
              <w:jc w:val="right"/>
              <w:rPr/>
            </w:pPr>
            <w:r>
              <w:rPr/>
              <w:t>—</w:t>
            </w:r>
          </w:p>
        </w:tc>
      </w:tr>
      <w:tr>
        <w:trPr/>
        <w:tc>
          <w:tcPr>
            <w:tcW w:w="576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ordinary shareholders of DiDi Global Inc.</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(10,680,417)</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(50,031,281)</w:t>
            </w:r>
          </w:p>
        </w:tc>
        <w:tc>
          <w:tcPr>
            <w:tcW w:w="266" w:type="dxa"/>
            <w:tcBorders/>
            <w:shd w:fill="CCEEFF" w:val="clear"/>
            <w:vAlign w:val="center"/>
          </w:tcPr>
          <w:p>
            <w:pPr>
              <w:pStyle w:val="TableContents"/>
              <w:spacing w:before="0" w:after="1"/>
              <w:ind w:left="0" w:right="0" w:hanging="0"/>
              <w:rPr/>
            </w:pPr>
            <w:r>
              <w:rPr/>
              <w:t>​</w:t>
            </w:r>
          </w:p>
        </w:tc>
        <w:tc>
          <w:tcPr>
            <w:tcW w:w="13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(24,681,970)</w:t>
            </w:r>
          </w:p>
        </w:tc>
      </w:tr>
      <w:tr>
        <w:trPr/>
        <w:tc>
          <w:tcPr>
            <w:tcW w:w="576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Denominator:</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1338" w:type="dxa"/>
            <w:tcBorders/>
            <w:shd w:fill="auto" w:val="clear"/>
            <w:vAlign w:val="center"/>
          </w:tcPr>
          <w:p>
            <w:pPr>
              <w:pStyle w:val="TableContents"/>
              <w:spacing w:before="0" w:after="1"/>
              <w:ind w:left="0" w:right="0" w:hanging="0"/>
              <w:jc w:val="right"/>
              <w:rPr/>
            </w:pPr>
            <w:r>
              <w:rPr/>
              <w:t>​</w:t>
            </w:r>
          </w:p>
        </w:tc>
      </w:tr>
      <w:tr>
        <w:trPr/>
        <w:tc>
          <w:tcPr>
            <w:tcW w:w="576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Class A and Class B ordinary shares outstanding*</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106,694,420</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657,996,437</w:t>
            </w:r>
          </w:p>
        </w:tc>
        <w:tc>
          <w:tcPr>
            <w:tcW w:w="266" w:type="dxa"/>
            <w:tcBorders/>
            <w:shd w:fill="CCEEFF" w:val="clear"/>
            <w:vAlign w:val="center"/>
          </w:tcPr>
          <w:p>
            <w:pPr>
              <w:pStyle w:val="TableContents"/>
              <w:spacing w:before="0" w:after="1"/>
              <w:ind w:left="0" w:right="0" w:hanging="0"/>
              <w:rPr/>
            </w:pPr>
            <w:r>
              <w:rPr/>
              <w:t>​</w:t>
            </w:r>
          </w:p>
        </w:tc>
        <w:tc>
          <w:tcPr>
            <w:tcW w:w="13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1,210,979,609</w:t>
            </w:r>
          </w:p>
        </w:tc>
      </w:tr>
      <w:tr>
        <w:trPr/>
        <w:tc>
          <w:tcPr>
            <w:tcW w:w="576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per share attributable to ordinary shareholders</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1338" w:type="dxa"/>
            <w:tcBorders/>
            <w:shd w:fill="auto" w:val="clear"/>
            <w:vAlign w:val="center"/>
          </w:tcPr>
          <w:p>
            <w:pPr>
              <w:pStyle w:val="TableContents"/>
              <w:spacing w:before="0" w:after="1"/>
              <w:ind w:left="0" w:right="0" w:hanging="0"/>
              <w:jc w:val="right"/>
              <w:rPr/>
            </w:pPr>
            <w:r>
              <w:rPr/>
              <w:t>​</w:t>
            </w:r>
          </w:p>
        </w:tc>
      </w:tr>
      <w:tr>
        <w:trPr/>
        <w:tc>
          <w:tcPr>
            <w:tcW w:w="5767" w:type="dxa"/>
            <w:tcBorders/>
            <w:shd w:fill="CCEEFF" w:val="clear"/>
            <w:vAlign w:val="center"/>
          </w:tcPr>
          <w:p>
            <w:pPr>
              <w:pStyle w:val="TableContents"/>
              <w:pBdr/>
              <w:spacing w:before="0" w:after="1"/>
              <w:ind w:left="0" w:right="0" w:hanging="0"/>
              <w:rPr/>
            </w:pPr>
            <w:r>
              <w:rPr/>
              <w:t xml:space="preserve">— </w:t>
            </w:r>
            <w:r>
              <w:rPr>
                <w:rFonts w:ascii="Times New Roman;Times;serif" w:hAnsi="Times New Roman;Times;serif"/>
                <w:sz w:val="20"/>
              </w:rPr>
              <w:t>Basic</w:t>
            </w:r>
          </w:p>
        </w:tc>
        <w:tc>
          <w:tcPr>
            <w:tcW w:w="266"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(100.10)</w:t>
            </w:r>
          </w:p>
        </w:tc>
        <w:tc>
          <w:tcPr>
            <w:tcW w:w="266" w:type="dxa"/>
            <w:tcBorders/>
            <w:shd w:fill="CCEEFF" w:val="clear"/>
            <w:vAlign w:val="center"/>
          </w:tcPr>
          <w:p>
            <w:pPr>
              <w:pStyle w:val="TableContents"/>
              <w:spacing w:before="0" w:after="1"/>
              <w:ind w:left="0" w:right="0" w:hanging="0"/>
              <w:rPr/>
            </w:pPr>
            <w:r>
              <w:rPr/>
              <w:t> </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266" w:type="dxa"/>
            <w:tcBorders/>
            <w:shd w:fill="CCEEFF" w:val="clear"/>
            <w:vAlign w:val="center"/>
          </w:tcPr>
          <w:p>
            <w:pPr>
              <w:pStyle w:val="TableContents"/>
              <w:spacing w:before="0" w:after="1"/>
              <w:ind w:left="0" w:right="0" w:hanging="0"/>
              <w:rPr/>
            </w:pPr>
            <w:r>
              <w:rPr/>
              <w:t> </w:t>
            </w:r>
          </w:p>
        </w:tc>
        <w:tc>
          <w:tcPr>
            <w:tcW w:w="13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r>
      <w:tr>
        <w:trPr/>
        <w:tc>
          <w:tcPr>
            <w:tcW w:w="5767" w:type="dxa"/>
            <w:tcBorders/>
            <w:shd w:fill="auto" w:val="clear"/>
            <w:vAlign w:val="center"/>
          </w:tcPr>
          <w:p>
            <w:pPr>
              <w:pStyle w:val="TableContents"/>
              <w:pBdr/>
              <w:spacing w:before="0" w:after="1"/>
              <w:ind w:left="0" w:right="0" w:hanging="0"/>
              <w:rPr/>
            </w:pPr>
            <w:r>
              <w:rPr/>
              <w:t xml:space="preserve">— </w:t>
            </w:r>
            <w:r>
              <w:rPr>
                <w:rFonts w:ascii="Times New Roman;Times;serif" w:hAnsi="Times New Roman;Times;serif"/>
                <w:sz w:val="20"/>
              </w:rPr>
              <w:t>Diluted</w:t>
            </w:r>
          </w:p>
        </w:tc>
        <w:tc>
          <w:tcPr>
            <w:tcW w:w="266"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(100.10)</w:t>
            </w:r>
          </w:p>
        </w:tc>
        <w:tc>
          <w:tcPr>
            <w:tcW w:w="266"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(76.04)</w:t>
            </w:r>
          </w:p>
        </w:tc>
        <w:tc>
          <w:tcPr>
            <w:tcW w:w="266" w:type="dxa"/>
            <w:tcBorders/>
            <w:shd w:fill="auto" w:val="clear"/>
            <w:vAlign w:val="center"/>
          </w:tcPr>
          <w:p>
            <w:pPr>
              <w:pStyle w:val="TableContents"/>
              <w:spacing w:before="0" w:after="1"/>
              <w:ind w:left="0" w:right="0" w:hanging="0"/>
              <w:rPr/>
            </w:pPr>
            <w:r>
              <w:rPr/>
              <w:t> </w:t>
            </w:r>
          </w:p>
        </w:tc>
        <w:tc>
          <w:tcPr>
            <w:tcW w:w="13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Vested restricted shares and RSUs and vested share options with minimal exercise price are considered outstanding in the computation of basic loss per share.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24. Loss per share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years ended December 31, 2020, 2021 and 2022, the Company had ordinary equivalent shares, including preferred shares, share options, restricted shares and RSUs granted. As the Group incurred loss for the years ended December 31, 2020, 2021 and 2022, these ordinary equivalent shares were antidilutive and excluded from the calculation of diluted loss per share of the Company. The weighted average numbers of preferred shares using the if converted method excluded from the calculation of diluted loss per share of the Company were 933,318,197 and 467,932,258 for the years ended December 31, 2020 and 2021, respectively. The weighted average numbers of share options, restricted shares and RSUs granted using the treasury stock method excluded from the calculation of diluted loss per share of the Company were 34,318,101, 68,967,807 and 49,167,693 for the years ended December 31, 2020, 2021 and 2022,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25. Related party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Related parties may be individuals or corporate entities.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certain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commercial arrangements with two of the Group’s shareholders in the ordinary course of business, namely Alibaba and its subsidiaries (“Alibaba Group”), and Tencent and its subsidiaries (“Tencent Group”).</w:t>
      </w:r>
    </w:p>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Alibaba Group</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Group has commercial arrangements with Alibaba Group primarily related to ride hailing and enterprise solutions services within the China Mobility segment. The ride hailing and enterprise solutions services provided to Alibaba Group are conducted on an arm’s length basis compared with similar unrelated parties. All the revenues generated from Alibaba Group accounted for less </w:t>
      </w:r>
      <w:r>
        <w:rPr>
          <w:rFonts w:ascii="Times New Roman;Times;serif" w:hAnsi="Times New Roman;Times;serif"/>
          <w:sz w:val="20"/>
          <w:highlight w:val="white"/>
        </w:rPr>
        <w:t>than 0.2%</w:t>
      </w:r>
      <w:r>
        <w:rPr>
          <w:rFonts w:ascii="Times New Roman;Times;serif" w:hAnsi="Times New Roman;Times;serif"/>
          <w:sz w:val="20"/>
        </w:rPr>
        <w:t xml:space="preserve"> of the Group’s total revenues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Group also has commercial arrangement with Alibaba Group primarily related to cloud communication services and information technology platform services. The costs and expenses related to these services that were provided by Alibaba Group accounted for less than </w:t>
      </w:r>
      <w:r>
        <w:rPr>
          <w:rFonts w:ascii="Times New Roman;Times;serif" w:hAnsi="Times New Roman;Times;serif"/>
          <w:sz w:val="20"/>
          <w:highlight w:val="white"/>
        </w:rPr>
        <w:t>0.3%</w:t>
      </w:r>
      <w:r>
        <w:rPr>
          <w:rFonts w:ascii="Times New Roman;Times;serif" w:hAnsi="Times New Roman;Times;serif"/>
          <w:sz w:val="20"/>
        </w:rPr>
        <w:t xml:space="preserve"> of the Group’s total costs and expenses for the years ended December 31, 2020, 2021 and 2022, respectively.</w:t>
      </w:r>
    </w:p>
    <w:tbl>
      <w:tblPr>
        <w:tblW w:w="3231" w:type="dxa"/>
        <w:jc w:val="left"/>
        <w:tblInd w:w="0" w:type="dxa"/>
        <w:tblCellMar>
          <w:top w:w="28" w:type="dxa"/>
          <w:left w:w="28" w:type="dxa"/>
          <w:bottom w:w="28" w:type="dxa"/>
          <w:right w:w="28" w:type="dxa"/>
        </w:tblCellMar>
      </w:tblPr>
      <w:tblGrid>
        <w:gridCol w:w="124"/>
        <w:gridCol w:w="256"/>
        <w:gridCol w:w="2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Tencent Group</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Group has commercial arrangements with Tencent Group primarily related to ride hailing and enterprise solutions services, online advertising services as well as licensing services. The services provided to Tencent Group are conducted on an arm’s length basis compared with similar unrelated parties. All the revenues generated from Tencent Group accounted for less than </w:t>
      </w:r>
      <w:r>
        <w:rPr>
          <w:rFonts w:ascii="Times New Roman;Times;serif" w:hAnsi="Times New Roman;Times;serif"/>
          <w:sz w:val="20"/>
          <w:highlight w:val="white"/>
        </w:rPr>
        <w:t>0.5%</w:t>
      </w:r>
      <w:r>
        <w:rPr>
          <w:rFonts w:ascii="Times New Roman;Times;serif" w:hAnsi="Times New Roman;Times;serif"/>
          <w:sz w:val="20"/>
        </w:rPr>
        <w:t xml:space="preserve"> of the Group’s total revenues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Group also has commercial arrangements with Tencent Group primarily related to payment processing services, colocation services and cloud communication services. The costs and expenses related to these services that were provided by Tencent Group accounted for less </w:t>
      </w:r>
      <w:r>
        <w:rPr>
          <w:rFonts w:ascii="Times New Roman;Times;serif" w:hAnsi="Times New Roman;Times;serif"/>
          <w:sz w:val="20"/>
          <w:highlight w:val="white"/>
        </w:rPr>
        <w:t>than 0.7%</w:t>
      </w:r>
      <w:r>
        <w:rPr>
          <w:rFonts w:ascii="Times New Roman;Times;serif" w:hAnsi="Times New Roman;Times;serif"/>
          <w:sz w:val="20"/>
        </w:rPr>
        <w:t xml:space="preserve"> of the Group’s total costs and expenses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Amounts due from Alibaba Group and Tencent Group related to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above </w:t>
      </w:r>
      <w:r>
        <w:rPr>
          <w:rFonts w:ascii="Times New Roman;Times;serif" w:hAnsi="Times New Roman;Times;serif"/>
          <w:b w:val="false"/>
          <w:i w:val="false"/>
          <w:caps w:val="false"/>
          <w:smallCaps w:val="false"/>
          <w:sz w:val="20"/>
        </w:rPr>
        <w:t>services</w:t>
      </w:r>
      <w:r>
        <w:rPr>
          <w:rFonts w:ascii="Times New Roman;Times;serif" w:hAnsi="Times New Roman;Times;serif"/>
          <w:sz w:val="20"/>
        </w:rPr>
        <w:t xml:space="preserve"> were RMB66,641 and </w:t>
      </w:r>
      <w:r>
        <w:rPr>
          <w:rFonts w:ascii="Times New Roman;Times;serif" w:hAnsi="Times New Roman;Times;serif"/>
          <w:sz w:val="20"/>
          <w:highlight w:val="white"/>
        </w:rPr>
        <w:t>RMB45,162</w:t>
      </w:r>
      <w:r>
        <w:rPr>
          <w:rFonts w:ascii="Times New Roman;Times;serif" w:hAnsi="Times New Roman;Times;serif"/>
          <w:sz w:val="20"/>
        </w:rPr>
        <w:t xml:space="preserve"> as of December 31,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486" w:name="_f3023ecd_c8e9_48d3_aaf8_7ae4900e4426_4"/>
      <w:bookmarkStart w:id="2487" w:name="_f3023ecd_c8e9_48d3_aaf8_7ae4900e4426_3"/>
      <w:bookmarkStart w:id="2488" w:name="_f3023ecd_c8e9_48d3_aaf8_7ae4900e4426_2"/>
      <w:bookmarkStart w:id="2489" w:name="_f3023ecd_c8e9_48d3_aaf8_7ae4900e4426"/>
      <w:bookmarkEnd w:id="2486"/>
      <w:bookmarkEnd w:id="2487"/>
      <w:bookmarkEnd w:id="2488"/>
      <w:bookmarkEnd w:id="2489"/>
      <w:r>
        <w:rPr>
          <w:rFonts w:ascii="Times New Roman;Times;serif" w:hAnsi="Times New Roman;Times;serif"/>
          <w:b/>
          <w:sz w:val="20"/>
        </w:rPr>
        <w:t>25. Related party transactions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Amounts due to the Alibaba Group and Tencent Group related to the </w:t>
      </w:r>
      <w:r>
        <w:rPr>
          <w:rFonts w:ascii="Times New Roman;Times;serif" w:hAnsi="Times New Roman;Times;serif"/>
          <w:b w:val="false"/>
          <w:i w:val="false"/>
          <w:caps w:val="false"/>
          <w:smallCaps w:val="false"/>
          <w:sz w:val="20"/>
        </w:rPr>
        <w:t>above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services</w:t>
      </w:r>
      <w:r>
        <w:rPr>
          <w:rFonts w:ascii="Times New Roman;Times;serif" w:hAnsi="Times New Roman;Times;serif"/>
          <w:sz w:val="20"/>
        </w:rPr>
        <w:t xml:space="preserve"> were RMB140,557 and </w:t>
      </w:r>
      <w:r>
        <w:rPr>
          <w:rFonts w:ascii="Times New Roman;Times;serif" w:hAnsi="Times New Roman;Times;serif"/>
          <w:sz w:val="20"/>
          <w:highlight w:val="white"/>
        </w:rPr>
        <w:t xml:space="preserve">RMB198,102 </w:t>
      </w:r>
      <w:r>
        <w:rPr>
          <w:rFonts w:ascii="Times New Roman;Times;serif" w:hAnsi="Times New Roman;Times;serif"/>
          <w:sz w:val="20"/>
        </w:rPr>
        <w:t>as of December 31,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Group has made certain financing transactions and an equity investment together with Softbank. The agreements for Softbank’s investments in those financing transactions and the equity investment were conducted on fair value basis and are disclosed in Note 4, Note 10 and Note 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Chengxin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Revenues generated from intra-city freight and ride hailing services provided to Chengxin were </w:t>
      </w:r>
      <w:r>
        <w:rPr>
          <w:rFonts w:ascii="Times New Roman;Times;serif" w:hAnsi="Times New Roman;Times;serif"/>
          <w:sz w:val="20"/>
          <w:highlight w:val="white"/>
        </w:rPr>
        <w:t>RMB277,350</w:t>
      </w:r>
      <w:r>
        <w:rPr>
          <w:rFonts w:ascii="Times New Roman;Times;serif" w:hAnsi="Times New Roman;Times;serif"/>
          <w:sz w:val="20"/>
        </w:rPr>
        <w:t xml:space="preserve"> for the year ended December 31, 2021 subsequent to Chengxin’s deconsolidation from the Group. The amount due from Chengxin relating to such services was </w:t>
      </w:r>
      <w:r>
        <w:rPr>
          <w:rFonts w:ascii="Times New Roman;Times;serif" w:hAnsi="Times New Roman;Times;serif"/>
          <w:sz w:val="20"/>
          <w:highlight w:val="white"/>
        </w:rPr>
        <w:t>RMB7,363</w:t>
      </w:r>
      <w:r>
        <w:rPr>
          <w:rFonts w:ascii="Times New Roman;Times;serif" w:hAnsi="Times New Roman;Times;serif"/>
          <w:sz w:val="20"/>
        </w:rPr>
        <w:t xml:space="preserve"> as of December 31,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a commercial framework arrangement with Chengxin under which the Group procured certain services from third vendors on behalf of Chengxin and charged Chengxin based on the actual cost of services provided by third party vendors, and shared a series of services with Chengxin, including services for middle and back offices, based on reasonable actual cost of the service agreed by both the Group and Chengxin. The procurement was accounted for as a settlement of liabilities by the Group on behalf of Chengxin. The share of services was accounted for as an allocation of costs and expenses from the Group to Chengxin. The amount due from Chengxin and advance payment made by Chengxin under the commercial framework arrangement above amounted to RMB10,750 and RMB87,961 as of December 31, 2021,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described in Notes 4 and 27, Chengxin’s shareholders and board resolved to distribute all of its available assets to its shareholders, in accordance with the distribution sequences outlined in the Agreements. As a shareholder of Chengxin, the Group received its share of Chengxin’s assets of RMB1,935,171 upon the completion of the distribution in July 2022. Prior to the distribution, the Group’s transactions with Chengxin were insignificant.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other investees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than the transactions disclosed above or elsewhere in the consolidated financial statements, the Group has commercial arrangements with certain of its investees to provide or receive technical support and other services. The amounts relating to these services provided or received represented less than </w:t>
      </w:r>
      <w:r>
        <w:rPr>
          <w:rFonts w:ascii="Times New Roman;Times;serif" w:hAnsi="Times New Roman;Times;serif"/>
          <w:sz w:val="20"/>
          <w:highlight w:val="white"/>
        </w:rPr>
        <w:t>0.2%</w:t>
      </w:r>
      <w:r>
        <w:rPr>
          <w:rFonts w:ascii="Times New Roman;Times;serif" w:hAnsi="Times New Roman;Times;serif"/>
          <w:sz w:val="20"/>
        </w:rPr>
        <w:t xml:space="preserve"> of the Group’s revenues or total costs and expenses for the years ended December 31, 2020, 2021 and 2022, respectively.</w:t>
      </w:r>
    </w:p>
    <w:p>
      <w:pPr>
        <w:pStyle w:val="TextBody"/>
        <w:spacing w:before="0" w:after="240"/>
        <w:ind w:left="0" w:right="0" w:hanging="0"/>
        <w:rPr>
          <w:rFonts w:ascii="Times New Roman;Times;serif" w:hAnsi="Times New Roman;Times;serif"/>
          <w:b/>
          <w:sz w:val="20"/>
        </w:rPr>
      </w:pPr>
      <w:bookmarkStart w:id="2490" w:name="Tc_eHe62FeZtUym4M0GlFss6Q_3_0"/>
      <w:bookmarkStart w:id="2491" w:name="Tc_gZmO6UfUDUW6CIAdM-CFwg_2_10"/>
      <w:bookmarkStart w:id="2492" w:name="Tc_u7fFCEQFKk6qsZg9KvBcsQ_2_8"/>
      <w:bookmarkStart w:id="2493" w:name="Tc_fvLBYZkNT0iuhelbRrZPrA_2_6"/>
      <w:bookmarkStart w:id="2494" w:name="Tc_kVGQM_jh2EShJQCT_6ktpg_2_4"/>
      <w:bookmarkStart w:id="2495" w:name="Tc_b0EZJpxmiE-eOjFU8mlQiA_2_2"/>
      <w:bookmarkStart w:id="2496" w:name="Tc_BjX1wfLs4kO1QHaJL2UR2A_1_10"/>
      <w:bookmarkStart w:id="2497" w:name="Tc_q8GBU_him0mzbbQChqlMFA_1_4"/>
      <w:bookmarkStart w:id="2498" w:name="_5cc94edb_4682_4388_b77d_60bd318fdf03"/>
      <w:bookmarkEnd w:id="2490"/>
      <w:bookmarkEnd w:id="2491"/>
      <w:bookmarkEnd w:id="2492"/>
      <w:bookmarkEnd w:id="2493"/>
      <w:bookmarkEnd w:id="2494"/>
      <w:bookmarkEnd w:id="2495"/>
      <w:bookmarkEnd w:id="2496"/>
      <w:bookmarkEnd w:id="2497"/>
      <w:bookmarkEnd w:id="2498"/>
      <w:r>
        <w:rPr>
          <w:rFonts w:ascii="Times New Roman;Times;serif" w:hAnsi="Times New Roman;Times;serif"/>
          <w:b/>
          <w:sz w:val="20"/>
        </w:rPr>
        <w:t>26. Commitments and contingencies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   Operating lease commitments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has outstanding commitments on non-cancelable operating lease agreements which are expected to commence after December 31, 2022. Operating lease commitments contracted but not yet reflected in the consolidated financial statements as of December 31, 2022 are as follows:</w:t>
      </w:r>
    </w:p>
    <w:tbl>
      <w:tblPr>
        <w:tblW w:w="7771" w:type="dxa"/>
        <w:jc w:val="left"/>
        <w:tblInd w:w="0" w:type="dxa"/>
        <w:tblCellMar>
          <w:top w:w="0" w:type="dxa"/>
          <w:left w:w="0" w:type="dxa"/>
          <w:bottom w:w="0" w:type="dxa"/>
          <w:right w:w="0" w:type="dxa"/>
        </w:tblCellMar>
      </w:tblPr>
      <w:tblGrid>
        <w:gridCol w:w="2521"/>
        <w:gridCol w:w="326"/>
        <w:gridCol w:w="676"/>
        <w:gridCol w:w="326"/>
        <w:gridCol w:w="751"/>
        <w:gridCol w:w="326"/>
        <w:gridCol w:w="781"/>
        <w:gridCol w:w="326"/>
        <w:gridCol w:w="781"/>
        <w:gridCol w:w="326"/>
        <w:gridCol w:w="631"/>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600835" cy="175260"/>
                      <wp:effectExtent l="0" t="0" r="0" b="0"/>
                      <wp:wrapNone/>
                      <wp:docPr id="705" name="Frame698"/>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07010" cy="175260"/>
                      <wp:effectExtent l="0" t="0" r="0" b="0"/>
                      <wp:wrapNone/>
                      <wp:docPr id="706" name="Frame6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429260" cy="175260"/>
                      <wp:effectExtent l="0" t="0" r="0" b="0"/>
                      <wp:wrapNone/>
                      <wp:docPr id="707" name="Frame70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08" name="Frame7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476885" cy="175260"/>
                      <wp:effectExtent l="0" t="0" r="0" b="0"/>
                      <wp:wrapNone/>
                      <wp:docPr id="709" name="Frame702"/>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0" name="Frame7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495935" cy="175260"/>
                      <wp:effectExtent l="0" t="0" r="0" b="0"/>
                      <wp:wrapNone/>
                      <wp:docPr id="711" name="Frame70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7010" cy="175260"/>
                      <wp:effectExtent l="0" t="0" r="0" b="0"/>
                      <wp:wrapNone/>
                      <wp:docPr id="712" name="Frame7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495935" cy="175260"/>
                      <wp:effectExtent l="0" t="0" r="0" b="0"/>
                      <wp:wrapNone/>
                      <wp:docPr id="713" name="Frame70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4" name="Frame7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400685" cy="175260"/>
                      <wp:effectExtent l="0" t="0" r="0" b="0"/>
                      <wp:wrapNone/>
                      <wp:docPr id="715" name="Frame70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Less than</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Over 5</w:t>
            </w:r>
          </w:p>
        </w:tc>
      </w:tr>
      <w:tr>
        <w:trPr/>
        <w:tc>
          <w:tcPr>
            <w:tcW w:w="25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shd w:fill="auto" w:val="clear"/>
            <w:vAlign w:val="center"/>
          </w:tcPr>
          <w:p>
            <w:pPr>
              <w:pStyle w:val="TableContents"/>
              <w:spacing w:before="0" w:after="0"/>
              <w:ind w:left="0" w:right="0" w:hanging="0"/>
              <w:jc w:val="center"/>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1 year</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1-3 Years</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3-5 Years</w:t>
            </w:r>
          </w:p>
        </w:tc>
        <w:tc>
          <w:tcPr>
            <w:tcW w:w="326" w:type="dxa"/>
            <w:tcBorders/>
            <w:shd w:fill="auto" w:val="clear"/>
            <w:vAlign w:val="center"/>
          </w:tcPr>
          <w:p>
            <w:pPr>
              <w:pStyle w:val="TableContents"/>
              <w:spacing w:before="0" w:after="0"/>
              <w:ind w:left="0" w:right="0" w:hanging="0"/>
              <w:jc w:val="center"/>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Years</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commitments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79,158</w:t>
            </w:r>
          </w:p>
        </w:tc>
        <w:tc>
          <w:tcPr>
            <w:tcW w:w="326" w:type="dxa"/>
            <w:tcBorders/>
            <w:shd w:fill="CCEEFF" w:val="clear"/>
            <w:vAlign w:val="center"/>
          </w:tcPr>
          <w:p>
            <w:pPr>
              <w:pStyle w:val="TableContents"/>
              <w:spacing w:before="0" w:after="0"/>
              <w:ind w:left="0" w:right="0" w:hanging="0"/>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29,318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45,408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3,854</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578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operating leases will commence after December 31, 2022 with lease terms from 1 year to 7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26. Commitments and contingencies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   Litigation and other contingencies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the Group is involved in claims and legal proceedings that arise in the ordinary course of business. Based on currently available information, the Group does not believe that the ultimate outcome of any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The Group records a liability when it is both probable that a liability has been incurred and the amount of the loss can be reasonably estimated. The Group reviews the need for any such liability on a regular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Starting in July 2021, the Company and certain of its officers and directors were named as defendants in several putative securities class actions filed in federal court and state court in the United States. These actions alleged, in sum and substance, that the registration statement and prospectus the Group prepared for its initial public offering contained material misstatements and omissions. Upon the issuance date of the consolidated financial statements for the year ended December 31, 2022, both the consolidated federal action and the state court action remain in their preliminary stages. The Group intends to vigorously defend itself against these claims and is currently unable to predict the timing, outcome or consequences of these actions, or estimate the possible loss or possible range of loss, if any, associated with the resolution of these lawsuits. The results from the lawsuits could have an adverse effect on the Group’s consolidated financial position, results of operations, or cash flows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After our initial public offering in the United States, the SEC contacted the Company and made inquiries in relation to the offering. The Company is cooperating with the investigation, subject to strict compliance with applicable PRC laws and regulations. The Group is currently unable to predict the timing, outcome or consequences of such an investigation.</w:t>
      </w:r>
    </w:p>
    <w:p>
      <w:pPr>
        <w:pStyle w:val="TextBody"/>
        <w:spacing w:before="0" w:after="240"/>
        <w:ind w:left="0" w:right="0" w:hanging="0"/>
        <w:rPr>
          <w:rFonts w:ascii="Times New Roman;Times;serif" w:hAnsi="Times New Roman;Times;serif"/>
          <w:b/>
          <w:sz w:val="20"/>
        </w:rPr>
      </w:pPr>
      <w:bookmarkStart w:id="2499" w:name="Tc_eQjue7lYAkybHGQYYKy_Og_14_0"/>
      <w:bookmarkStart w:id="2500" w:name="Tc_rfzqaA5xCUeS4lIBtZ9fjg_13_8"/>
      <w:bookmarkStart w:id="2501" w:name="Tc_yMZXBq5pUkeGD1F1oE7Iww_13_4"/>
      <w:bookmarkStart w:id="2502" w:name="Tc_wOLwgrUyYUiW8_ca1rkM_w_13_0"/>
      <w:bookmarkStart w:id="2503" w:name="Tc_b4PjP-62okmmeH2tlJmVSw_12_6"/>
      <w:bookmarkStart w:id="2504" w:name="Tc_NHNHbVYLLUmc2DLhfbY_TA_12_4"/>
      <w:bookmarkStart w:id="2505" w:name="Tc_okykjQmQWUipX6FykXiYIg_12_0"/>
      <w:bookmarkStart w:id="2506" w:name="Tc_8EFZO0y4YEa-dBktz-_5ew_11_6"/>
      <w:bookmarkStart w:id="2507" w:name="Tc_0lXY2LJI0UGwoxleJSVIEg_11_4"/>
      <w:bookmarkStart w:id="2508" w:name="Tc_Ip3zSxrWC0e6UkUTpjpLMQ_11_0"/>
      <w:bookmarkStart w:id="2509" w:name="Tc_VNlsSitGiECMsUAKZAwAsA_10_8"/>
      <w:bookmarkStart w:id="2510" w:name="Tc_zPVkUK_buU657jfo_7BhYA_10_0"/>
      <w:bookmarkStart w:id="2511" w:name="Tc_MpJd3JSiIUCAKm87tWdqwg_9_8"/>
      <w:bookmarkStart w:id="2512" w:name="Tc_RyW1nkU5IUG6zoUR88ZrJg_9_4"/>
      <w:bookmarkStart w:id="2513" w:name="Tc_RiDRf4IxzE62Rc-IwkSeXQ_9_0"/>
      <w:bookmarkStart w:id="2514" w:name="Tc_mrcYTmylz0i1CO7J2VnTUg_8_8"/>
      <w:bookmarkStart w:id="2515" w:name="Tc_dV61xanZ3ECjEwBGwMJCMg_8_6"/>
      <w:bookmarkStart w:id="2516" w:name="Tc_8117Q7HoPECUzWgaszFNaA_8_4"/>
      <w:bookmarkStart w:id="2517" w:name="Tc_IjhbYV1nq0-4wfU3A2Pg2Q_8_2"/>
      <w:bookmarkStart w:id="2518" w:name="Tc_obC2cciP0U2Cs52w2QH2Aw_7_8"/>
      <w:bookmarkStart w:id="2519" w:name="Tc_49QIHn5_TUCQfrj5dPaPjQ_7_6"/>
      <w:bookmarkStart w:id="2520" w:name="Tc_cffm0A_QskG9TNzICLU9AQ_7_4"/>
      <w:bookmarkStart w:id="2521" w:name="Tc_Y3G6ZgERQEWlYLovhHzqpA_7_2"/>
      <w:bookmarkStart w:id="2522" w:name="Tc_BHuadKinWk-kOWI2qbnFzQ_7_0"/>
      <w:bookmarkStart w:id="2523" w:name="Tc_LQip5wapOkOKFvEoi-uYAg_6_8"/>
      <w:bookmarkStart w:id="2524" w:name="Tc_prW-fPuFIkWcIs9fp3gbHA_6_6"/>
      <w:bookmarkStart w:id="2525" w:name="Tc_7rKUIB36SU-cAfk4D4-hLw_6_4"/>
      <w:bookmarkStart w:id="2526" w:name="Tc_THoKIyXzuUWpmYY1u3Kljg_6_2"/>
      <w:bookmarkStart w:id="2527" w:name="Tc_cXo5et8iq0-VYExv5ao3vg_5_8"/>
      <w:bookmarkStart w:id="2528" w:name="Tc_bgNKmhzR4k2-TqxZWsGVuQ_5_6"/>
      <w:bookmarkStart w:id="2529" w:name="Tc_UHkKKLA54Eef13D9TqhrLQ_5_4"/>
      <w:bookmarkStart w:id="2530" w:name="Tc_-FGfJ5YEw0ij58DHKMVd3g_4_8"/>
      <w:bookmarkStart w:id="2531" w:name="Tc_gdLYNzJC60yDGaN1svhhCg_4_4"/>
      <w:bookmarkStart w:id="2532" w:name="Tc_lsnQpeaVxEaTq_720ZpmtA_3_4"/>
      <w:bookmarkStart w:id="2533" w:name="Tc_JSHahYAst0e7nr3t89gFYA_2_4"/>
      <w:bookmarkStart w:id="2534" w:name="Tc_VeMmGRXYoUuTr4wsvZZ1Sg_1_4"/>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r>
        <w:rPr>
          <w:rFonts w:ascii="Times New Roman;Times;serif" w:hAnsi="Times New Roman;Times;serif"/>
          <w:b/>
          <w:sz w:val="20"/>
        </w:rPr>
        <w:t>27. Fair value measurement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financial instruments, measured at fair value, by level within the fair value hierarchy as of December 31, 2021 and 2022.</w:t>
      </w:r>
    </w:p>
    <w:p>
      <w:pPr>
        <w:pStyle w:val="TextBody"/>
        <w:spacing w:before="0" w:after="0"/>
        <w:ind w:left="0" w:right="0" w:hanging="0"/>
        <w:rPr/>
      </w:pPr>
      <w:r>
        <w:rPr/>
        <w:t>​</w:t>
      </w:r>
    </w:p>
    <w:tbl>
      <w:tblPr>
        <w:tblW w:w="9739" w:type="dxa"/>
        <w:jc w:val="left"/>
        <w:tblInd w:w="0" w:type="dxa"/>
        <w:tblCellMar>
          <w:top w:w="0" w:type="dxa"/>
          <w:left w:w="0" w:type="dxa"/>
          <w:bottom w:w="0" w:type="dxa"/>
          <w:right w:w="0" w:type="dxa"/>
        </w:tblCellMar>
      </w:tblPr>
      <w:tblGrid>
        <w:gridCol w:w="3496"/>
        <w:gridCol w:w="326"/>
        <w:gridCol w:w="1051"/>
        <w:gridCol w:w="326"/>
        <w:gridCol w:w="1171"/>
        <w:gridCol w:w="326"/>
        <w:gridCol w:w="1471"/>
        <w:gridCol w:w="326"/>
        <w:gridCol w:w="1246"/>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219960" cy="175260"/>
                      <wp:effectExtent l="0" t="0" r="0" b="0"/>
                      <wp:wrapNone/>
                      <wp:docPr id="716" name="Frame709"/>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07010" cy="175260"/>
                      <wp:effectExtent l="0" t="0" r="0" b="0"/>
                      <wp:wrapNone/>
                      <wp:docPr id="717" name="Frame7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67385" cy="175260"/>
                      <wp:effectExtent l="0" t="0" r="0" b="0"/>
                      <wp:wrapNone/>
                      <wp:docPr id="718" name="Frame711"/>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19" name="Frame7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743585" cy="175260"/>
                      <wp:effectExtent l="0" t="0" r="0" b="0"/>
                      <wp:wrapNone/>
                      <wp:docPr id="720" name="Frame713"/>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7010" cy="175260"/>
                      <wp:effectExtent l="0" t="0" r="0" b="0"/>
                      <wp:wrapNone/>
                      <wp:docPr id="721" name="Frame7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934085" cy="175260"/>
                      <wp:effectExtent l="0" t="0" r="0" b="0"/>
                      <wp:wrapNone/>
                      <wp:docPr id="722" name="Frame715"/>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07010" cy="175260"/>
                      <wp:effectExtent l="0" t="0" r="0" b="0"/>
                      <wp:wrapNone/>
                      <wp:docPr id="723" name="Frame7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791210" cy="175260"/>
                      <wp:effectExtent l="0" t="0" r="0" b="0"/>
                      <wp:wrapNone/>
                      <wp:docPr id="724" name="Frame717"/>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Identical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Unobservable </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 </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w:t>
            </w:r>
          </w:p>
        </w:tc>
      </w:tr>
      <w:tr>
        <w:trPr/>
        <w:tc>
          <w:tcPr>
            <w:tcW w:w="34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Items</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Structured notes under fair value option</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Listed equity securities</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13,342,946</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451,679</w:t>
            </w:r>
          </w:p>
        </w:tc>
        <w:tc>
          <w:tcPr>
            <w:tcW w:w="326" w:type="dxa"/>
            <w:tcBorders/>
            <w:shd w:fill="auto" w:val="clear"/>
            <w:vAlign w:val="center"/>
          </w:tcPr>
          <w:p>
            <w:pPr>
              <w:pStyle w:val="TableContents"/>
              <w:spacing w:before="0" w:after="0"/>
              <w:ind w:left="0" w:right="0" w:hanging="0"/>
              <w:rPr/>
            </w:pPr>
            <w:r>
              <w:rPr/>
              <w:t> </w:t>
            </w:r>
          </w:p>
        </w:tc>
        <w:tc>
          <w:tcPr>
            <w:tcW w:w="14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12,891,267</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investments in Chengxin</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w:t>
            </w:r>
          </w:p>
        </w:tc>
        <w:tc>
          <w:tcPr>
            <w:tcW w:w="326"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 of Chengxin</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673,357</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673,357</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739,446</w:t>
            </w:r>
          </w:p>
        </w:tc>
        <w:tc>
          <w:tcPr>
            <w:tcW w:w="326" w:type="dxa"/>
            <w:tcBorders/>
            <w:shd w:fill="CCEEFF" w:val="clear"/>
            <w:vAlign w:val="center"/>
          </w:tcPr>
          <w:p>
            <w:pPr>
              <w:pStyle w:val="TableContents"/>
              <w:spacing w:before="0" w:after="0"/>
              <w:ind w:left="0" w:right="0" w:hanging="0"/>
              <w:rPr/>
            </w:pPr>
            <w:r>
              <w:rPr/>
              <w:t>​</w:t>
            </w:r>
          </w:p>
        </w:tc>
        <w:tc>
          <w:tcPr>
            <w:tcW w:w="11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739,446</w:t>
            </w:r>
          </w:p>
        </w:tc>
        <w:tc>
          <w:tcPr>
            <w:tcW w:w="326" w:type="dxa"/>
            <w:tcBorders/>
            <w:shd w:fill="CCEEFF" w:val="clear"/>
            <w:vAlign w:val="center"/>
          </w:tcPr>
          <w:p>
            <w:pPr>
              <w:pStyle w:val="TableContents"/>
              <w:spacing w:before="0" w:after="0"/>
              <w:ind w:left="0" w:right="0" w:hanging="0"/>
              <w:rPr/>
            </w:pPr>
            <w:r>
              <w:rPr/>
              <w:t>​</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14,773,138</w:t>
            </w:r>
          </w:p>
        </w:tc>
        <w:tc>
          <w:tcPr>
            <w:tcW w:w="326" w:type="dxa"/>
            <w:tcBorders/>
            <w:shd w:fill="auto" w:val="clear"/>
            <w:vAlign w:val="center"/>
          </w:tcPr>
          <w:p>
            <w:pPr>
              <w:pStyle w:val="TableContents"/>
              <w:spacing w:before="0" w:after="0"/>
              <w:ind w:left="0" w:right="0" w:hanging="0"/>
              <w:rPr/>
            </w:pPr>
            <w:r>
              <w:rPr/>
              <w:t> </w:t>
            </w:r>
          </w:p>
        </w:tc>
        <w:tc>
          <w:tcPr>
            <w:tcW w:w="11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451,679</w:t>
            </w:r>
          </w:p>
        </w:tc>
        <w:tc>
          <w:tcPr>
            <w:tcW w:w="326" w:type="dxa"/>
            <w:tcBorders/>
            <w:shd w:fill="auto" w:val="clear"/>
            <w:vAlign w:val="center"/>
          </w:tcPr>
          <w:p>
            <w:pPr>
              <w:pStyle w:val="TableContents"/>
              <w:spacing w:before="0" w:after="0"/>
              <w:ind w:left="0" w:right="0" w:hanging="0"/>
              <w:rPr/>
            </w:pPr>
            <w:r>
              <w:rPr/>
              <w:t> </w:t>
            </w:r>
          </w:p>
        </w:tc>
        <w:tc>
          <w:tcPr>
            <w:tcW w:w="14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13,635,335</w:t>
            </w:r>
          </w:p>
        </w:tc>
        <w:tc>
          <w:tcPr>
            <w:tcW w:w="326" w:type="dxa"/>
            <w:tcBorders/>
            <w:shd w:fill="auto" w:val="clear"/>
            <w:vAlign w:val="center"/>
          </w:tcPr>
          <w:p>
            <w:pPr>
              <w:pStyle w:val="TableContents"/>
              <w:spacing w:before="0" w:after="0"/>
              <w:ind w:left="0" w:right="0" w:hanging="0"/>
              <w:rPr/>
            </w:pPr>
            <w:r>
              <w:rPr/>
              <w:t> </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686,124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0"/>
        <w:ind w:left="0" w:right="0" w:hanging="0"/>
        <w:rPr>
          <w:rFonts w:ascii="Times New Roman;Times;serif" w:hAnsi="Times New Roman;Times;serif"/>
          <w:b/>
          <w:sz w:val="20"/>
        </w:rPr>
      </w:pPr>
      <w:bookmarkStart w:id="2535" w:name="Tc_3N_qOVxcNEu03vRoDRSXow_12_8"/>
      <w:bookmarkStart w:id="2536" w:name="Tc_DbpA6Gs_DEikSFNre_zbAg_12_0"/>
      <w:bookmarkStart w:id="2537" w:name="Tc_DNMsRoZDpECqy9S6bHgLYA_11_8"/>
      <w:bookmarkStart w:id="2538" w:name="Tc_yMEk-SpYKE2jEI4yZkisrA_11_4"/>
      <w:bookmarkStart w:id="2539" w:name="Tc_VviiogBz40SGWisuw_fY5w_11_0"/>
      <w:bookmarkStart w:id="2540" w:name="Tc_jyTBclAgMEib0SM9qV1jyw_10_8"/>
      <w:bookmarkStart w:id="2541" w:name="Tc_2MrbfbUJDEWmZGZJ6lS-uA_10_6"/>
      <w:bookmarkStart w:id="2542" w:name="Tc_SL8W26HpTki8KvCGSf3n_A_10_0"/>
      <w:bookmarkStart w:id="2543" w:name="Tc_f9Mn7ppX0kGnP78uh_bKGQ_9_8"/>
      <w:bookmarkStart w:id="2544" w:name="Tc_nGmZPQgTX0eFbJLvwQ00Tw_9_4"/>
      <w:bookmarkStart w:id="2545" w:name="Tc_X1A8j-Q1LESP_34d7ODLcg_9_0"/>
      <w:bookmarkStart w:id="2546" w:name="Tc_scRZZzHwt0OPaItJ-UNqgQ_8_8"/>
      <w:bookmarkStart w:id="2547" w:name="Tc_fpZU2BO3Ak6BsLTOfNVE7A_8_6"/>
      <w:bookmarkStart w:id="2548" w:name="Tc_r5ngEInVGUyK5rfYiKTYEg_8_4"/>
      <w:bookmarkStart w:id="2549" w:name="Tc_0nC8qZQmgU-3NSlo3f3erg_8_2"/>
      <w:bookmarkStart w:id="2550" w:name="Tc_4P31fnbhYE6y2vfe7on8IQ_7_8"/>
      <w:bookmarkStart w:id="2551" w:name="Tc_npDGUJ-b30qCwaV13xMrxQ_7_6"/>
      <w:bookmarkStart w:id="2552" w:name="Tc_Mfn_d6Y3GE2uvmZYYfTwQg_7_4"/>
      <w:bookmarkStart w:id="2553" w:name="Tc_01lXXmpu40Cand_UhliAdw_7_2"/>
      <w:bookmarkStart w:id="2554" w:name="Tc_vPIbccEk10eztrxZpVbFdA_7_0"/>
      <w:bookmarkStart w:id="2555" w:name="Tc_o6mInV233UG5tkhyHyZfSw_6_8"/>
      <w:bookmarkStart w:id="2556" w:name="Tc_bHNEqYXVFUOmsmEacmds_Q_6_6"/>
      <w:bookmarkStart w:id="2557" w:name="Tc_csC-Vp9eiEqwxwTH3MBzQg_6_4"/>
      <w:bookmarkStart w:id="2558" w:name="Tc_qWMRfqruJE2SP9VVAAAppw_6_2"/>
      <w:bookmarkStart w:id="2559" w:name="Tc_dJt4eXvLGkOODTNiUDpgGg_5_8"/>
      <w:bookmarkStart w:id="2560" w:name="Tc_WrRPs-kR5k6Ckn5NMeg5Qw_5_6"/>
      <w:bookmarkStart w:id="2561" w:name="Tc_34xuuTNxy0yaHU6K2bwyvA_5_4"/>
      <w:bookmarkStart w:id="2562" w:name="Tc_hy7xP193A0OrBwaOHBqXvA_4_8"/>
      <w:bookmarkStart w:id="2563" w:name="Tc_woC7FCFAbEe_EkLMpo1-fw_4_4"/>
      <w:bookmarkStart w:id="2564" w:name="Tc_MGgs38BnWEeFs2iFB9MquQ_3_4"/>
      <w:bookmarkStart w:id="2565" w:name="Tc_39AyLQpHLU-s1WaGNg6y9A_2_4"/>
      <w:bookmarkStart w:id="2566" w:name="Tc_ktYIsB_BSEWsT1kKj0jx7A_1_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r>
        <w:rPr>
          <w:rFonts w:ascii="Times New Roman;Times;serif" w:hAnsi="Times New Roman;Times;serif"/>
          <w:b/>
          <w:sz w:val="20"/>
        </w:rPr>
        <w:t>27. Fair value measurement (Continued)</w:t>
      </w:r>
    </w:p>
    <w:p>
      <w:pPr>
        <w:pStyle w:val="TextBody"/>
        <w:spacing w:before="0" w:after="0"/>
        <w:ind w:left="0" w:right="0" w:hanging="0"/>
        <w:rPr/>
      </w:pPr>
      <w:r>
        <w:rPr/>
        <w:t>​</w:t>
      </w:r>
    </w:p>
    <w:tbl>
      <w:tblPr>
        <w:tblW w:w="9739" w:type="dxa"/>
        <w:jc w:val="left"/>
        <w:tblInd w:w="0" w:type="dxa"/>
        <w:tblCellMar>
          <w:top w:w="0" w:type="dxa"/>
          <w:left w:w="0" w:type="dxa"/>
          <w:bottom w:w="0" w:type="dxa"/>
          <w:right w:w="0" w:type="dxa"/>
        </w:tblCellMar>
      </w:tblPr>
      <w:tblGrid>
        <w:gridCol w:w="3496"/>
        <w:gridCol w:w="326"/>
        <w:gridCol w:w="1051"/>
        <w:gridCol w:w="326"/>
        <w:gridCol w:w="1171"/>
        <w:gridCol w:w="326"/>
        <w:gridCol w:w="1471"/>
        <w:gridCol w:w="326"/>
        <w:gridCol w:w="1246"/>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219960" cy="175260"/>
                      <wp:effectExtent l="0" t="0" r="0" b="0"/>
                      <wp:wrapNone/>
                      <wp:docPr id="725" name="Frame718"/>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26" name="Frame7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67385" cy="175260"/>
                      <wp:effectExtent l="0" t="0" r="0" b="0"/>
                      <wp:wrapNone/>
                      <wp:docPr id="727" name="Frame720"/>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28" name="Frame7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743585" cy="175260"/>
                      <wp:effectExtent l="0" t="0" r="0" b="0"/>
                      <wp:wrapNone/>
                      <wp:docPr id="729" name="Frame72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0" name="Frame7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934085" cy="175260"/>
                      <wp:effectExtent l="0" t="0" r="0" b="0"/>
                      <wp:wrapNone/>
                      <wp:docPr id="731" name="Frame724"/>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07010" cy="175260"/>
                      <wp:effectExtent l="0" t="0" r="0" b="0"/>
                      <wp:wrapNone/>
                      <wp:docPr id="732" name="Frame7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791210" cy="175260"/>
                      <wp:effectExtent l="0" t="0" r="0" b="0"/>
                      <wp:wrapNone/>
                      <wp:docPr id="733" name="Frame726"/>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Identical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Unobservable </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 </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w:t>
            </w:r>
          </w:p>
        </w:tc>
      </w:tr>
      <w:tr>
        <w:trPr/>
        <w:tc>
          <w:tcPr>
            <w:tcW w:w="34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Items</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Structured notes under fair value option</w:t>
            </w:r>
          </w:p>
        </w:tc>
        <w:tc>
          <w:tcPr>
            <w:tcW w:w="326" w:type="dxa"/>
            <w:tcBorders/>
            <w:shd w:fill="CCEEFF" w:val="clear"/>
            <w:vAlign w:val="center"/>
          </w:tcPr>
          <w:p>
            <w:pPr>
              <w:pStyle w:val="TableContents"/>
              <w:spacing w:before="0" w:after="0"/>
              <w:ind w:left="0" w:right="0" w:hanging="0"/>
              <w:jc w:val="center"/>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1,755,009</w:t>
            </w:r>
          </w:p>
        </w:tc>
        <w:tc>
          <w:tcPr>
            <w:tcW w:w="326" w:type="dxa"/>
            <w:tcBorders/>
            <w:shd w:fill="CCEEFF" w:val="clear"/>
            <w:vAlign w:val="center"/>
          </w:tcPr>
          <w:p>
            <w:pPr>
              <w:pStyle w:val="TableContents"/>
              <w:spacing w:before="0" w:after="0"/>
              <w:ind w:left="0" w:right="0" w:hanging="0"/>
              <w:jc w:val="center"/>
              <w:rPr/>
            </w:pPr>
            <w:r>
              <w:rPr/>
              <w:t>​</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4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1,755,009</w:t>
            </w:r>
          </w:p>
        </w:tc>
        <w:tc>
          <w:tcPr>
            <w:tcW w:w="326" w:type="dxa"/>
            <w:tcBorders/>
            <w:shd w:fill="CCEEFF" w:val="clear"/>
            <w:vAlign w:val="center"/>
          </w:tcPr>
          <w:p>
            <w:pPr>
              <w:pStyle w:val="TableContents"/>
              <w:spacing w:before="0" w:after="0"/>
              <w:ind w:left="0" w:right="0" w:hanging="0"/>
              <w:jc w:val="center"/>
              <w:rPr/>
            </w:pPr>
            <w:r>
              <w:rPr/>
              <w:t>​</w:t>
            </w:r>
          </w:p>
        </w:tc>
        <w:tc>
          <w:tcPr>
            <w:tcW w:w="1246" w:type="dxa"/>
            <w:tcBorders/>
            <w:shd w:fill="CCEEFF" w:val="clear"/>
            <w:vAlign w:val="center"/>
          </w:tcPr>
          <w:p>
            <w:pPr>
              <w:pStyle w:val="TableContents"/>
              <w:spacing w:before="0" w:after="0"/>
              <w:ind w:left="0" w:right="0" w:hanging="0"/>
              <w:jc w:val="right"/>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Listed equity securities</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6,725,766</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right"/>
              <w:rPr/>
            </w:pPr>
            <w:r>
              <w:rPr/>
              <w:t>—</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investments under fair value option</w:t>
            </w:r>
          </w:p>
        </w:tc>
        <w:tc>
          <w:tcPr>
            <w:tcW w:w="326" w:type="dxa"/>
            <w:tcBorders/>
            <w:shd w:fill="CCEEFF"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1,386,741</w:t>
            </w:r>
          </w:p>
        </w:tc>
        <w:tc>
          <w:tcPr>
            <w:tcW w:w="326" w:type="dxa"/>
            <w:tcBorders/>
            <w:shd w:fill="CCEEFF" w:val="clear"/>
            <w:vAlign w:val="center"/>
          </w:tcPr>
          <w:p>
            <w:pPr>
              <w:pStyle w:val="TableContents"/>
              <w:spacing w:before="0" w:after="0"/>
              <w:ind w:left="0" w:right="0" w:hanging="0"/>
              <w:jc w:val="center"/>
              <w:rPr/>
            </w:pPr>
            <w:r>
              <w:rPr/>
              <w:t>​</w:t>
            </w:r>
          </w:p>
        </w:tc>
        <w:tc>
          <w:tcPr>
            <w:tcW w:w="11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4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1,386,741</w:t>
            </w:r>
          </w:p>
        </w:tc>
        <w:tc>
          <w:tcPr>
            <w:tcW w:w="326" w:type="dxa"/>
            <w:tcBorders/>
            <w:shd w:fill="CCEEFF"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9,867,516</w:t>
            </w:r>
          </w:p>
        </w:tc>
        <w:tc>
          <w:tcPr>
            <w:tcW w:w="326" w:type="dxa"/>
            <w:tcBorders/>
            <w:shd w:fill="auto" w:val="clear"/>
            <w:vAlign w:val="center"/>
          </w:tcPr>
          <w:p>
            <w:pPr>
              <w:pStyle w:val="TableContents"/>
              <w:spacing w:before="0" w:after="0"/>
              <w:ind w:left="0" w:right="0" w:hanging="0"/>
              <w:jc w:val="center"/>
              <w:rPr/>
            </w:pPr>
            <w:r>
              <w:rPr/>
              <w:t>​</w:t>
            </w:r>
          </w:p>
        </w:tc>
        <w:tc>
          <w:tcPr>
            <w:tcW w:w="11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6,725,766</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3,141,750</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Recurring</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Following is a description of the valuation techniques that the Company uses to measure the fair value of assets that the Group reports in its consolidated balance sheets at fair value on a recurring basis.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Short-term investments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As there are no quoted prices in active markets for the investment at the reporting date, the Group classifies the valuation techniques that use these inputs as Level 2 of fair value measurement to estimate the fair value of investments in short-term investments with variable interest rates indexed to the performance of underlying assets.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Investments in Chengxin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Group applies fair value accounting to both equity investment and investment in Convertible Note (Level 3) with assistance of a third-party independent appraiser. The Group applies significant judgments in estimating fair values of Chengxin including selection of valuation methods and significant assumptions used in valuation. The fair value of the Investments in Chengxin upon the deconsolidation was determined by referencing the most recent financing transaction in preferred shares aforementioned in Note 4 and used as an input to an OPM. Other key inputs to the OPM were discounts for lack of marketability(DLOM) relating to the ordinary shares and preferred shares of Chengxin ranging from 12% to 25%, volatility of 55% and time to liquidity of 5.0 years.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At December 31, 2021, the Group, with the assistance of third-party independent appraiser, remeasured the fair value of the Investment in Chengxin by using scenario-based model, which incorporates various estimates, including scenario probability estimates, projected cash flow for each scenario, discount rates and other factors. Two scenarios were considered, including a scenario in which Chengxin will continue to operate normally and complete an initial public offering (“Scenario I”) and a scenario in which Chengxin remains private with limited operating period (“Scenario II”), which were determined by the Company based on an analysis of performance and market conditions at the time. Under both scenarios, the total equity value was determined by using the income approach, specifically a discounted cash flow analysis with unobservable inputs including the discount rates of 22% and 20% respectively for Scenario I and Scenario II. The equity value under Scenario I was allocated on an as-if-fully-converted basis whereas under Scenario II equity value was allocated to each class of shares according to their seniority. As described in Note 4, Chengxin’s shareholders and board resolved to distribute all of its available assets to its shareholders, in accordance with the distribution sequences outlined in the Agreements. As a shareholder of Chengxin, the Group received its share of Chengxin’s assets of RMB1,935,171 upon the completion of distribution in July 2022. The difference amounting to RMB1,172,541 between the distributions received and the investment balance at December 31, 2021 was recorded in investment income (loss), net in the consolidated statement of comprehensive loss in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27. Fair value measurement (Continued)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investment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values its listed equity securities in active markets using quoted prices for the underlying securities, the Group classifies the valuation techniques that use these inputs as Level 1. The Group values its listed equity securities under restrictions for trading based on quoted prices for the underlying securities, adjusted by a discount for lack of marketability, the Group classifies the valuation techniques that uses these inputs as Level 2. The fair value of the Group’s investments in convertible bonds is measured based on quoted market interest rates of similar instruments and other significant inputs derived from or corroborated by observable market data. The Group classifies the valuation techniques that use these inputs as Level 2 of fair value measurement.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equivalent, restricted cash, time deposits, short-term receivables and payables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equivalent, restricted cash, time deposits, accounts and notes receivable, prepayments, receivables and other current assets are financial assets with carrying values that approximate fair value due to their short-term nature. Accounts and notes payables, customer advances and deferred revenue, accrued expenses and other current liabilities are financial liabilities with carrying values that approximate fair value due to their short-term nature.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Non-recurring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measures equity investments without readily determinable fair values at fair value on a nonrecurring basis when an impairment charge is to be recognized. As of December 31, 2021 and 2022, certain investments were measured using significant unobservable inputs (Level 3) and written down from their respective carrying values to fair values, considering the stage of development, the business plan, the financial condition, the sufficiency of funding and the operating performance of the investee companies, with impairment charges incurred and recorded in earnings for the years ended December 31, 2020, 2021 and 2022. The Group recognized impairment charges of RMB1,022,098, nil and RMB18,540 for those investments without readily determinable fair values for the years ended December 31, 2020, 2021 and 2022, respectively, as well as impairment loss of RMB79,875, RMB264,292 and RMB59,651 for equity method investments, for the years ended December 31, 2020, 2021 and 2022, respectively. The fair value of the privately held investments is valued based on the discount cash flow model with unobservable inputs including the discount rate from 15% to 20%, or valued based on market approach with unobservable inputs including selection of comparable companies and multiples and estimated discount for lack of marketability.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Group’s non-financial assets, such as intangible assets, goodwill and property and equipment, would be measured at fair value only if they were determined to be impaired. The Group reviews the long-lived assets and identifiable intangible assets other than goodwill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For the years ended December 31, 2020, 2021 and 2022, the Group recognized RMB891,180, RMB2,535,959 and RMB17,736 of impairment loss on the long-lived assets other than goodwill based on management’s assessment (Level 3). In accordance with the Group policy to perform an impairment assessment of its goodwill on an annual basis as of the balance sheet date or when facts and circumstances warrant a review, the Group performed an impairment assessment for the goodwill of reporting units annually. The Group concluded that no write down was warranted for the years ended December 31, 2020 and 2022. For the year ended December 31, 2021, impairment loss with the amount of RMB2,501,100 was recorded for goodwill generated from the acquisition of 99 Taxis. The inputs used to measure the estimated fair value of the long-lived assets and goodwill are classified as Level 3 fair value measurement due to the significance of unobservable inputs using company-specific information. The valuation methodology used to estimate the fair value of the long-lived assets is discussed in Note 14 Goodwill for further information.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result of the adverse change in the operating and financial performance of the Group’s bike and e-bike sharing business during the third quarter of 2021, a quantitative impairment assessment was first performed based on the undiscounted future cash flows for each identifiable asset group within bike and e-bike sharing business with unobservable inputs. The impairment was measured using the discount curve of discount rate of 16% for asset groups that failed the first step impairment test.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thousands, except for share and par value)</w:t>
      </w:r>
    </w:p>
    <w:p>
      <w:pPr>
        <w:pStyle w:val="TextBody"/>
        <w:spacing w:before="0" w:after="240"/>
        <w:ind w:left="0" w:right="0" w:hanging="0"/>
        <w:rPr>
          <w:rFonts w:ascii="Times New Roman;Times;serif" w:hAnsi="Times New Roman;Times;serif"/>
          <w:b/>
          <w:sz w:val="20"/>
        </w:rPr>
      </w:pPr>
      <w:bookmarkStart w:id="2567" w:name="Noteend"/>
      <w:bookmarkStart w:id="2568" w:name="_Hlk102158482"/>
      <w:bookmarkEnd w:id="2567"/>
      <w:bookmarkEnd w:id="2568"/>
      <w:r>
        <w:rPr>
          <w:rFonts w:ascii="Times New Roman;Times;serif" w:hAnsi="Times New Roman;Times;serif"/>
          <w:b/>
          <w:sz w:val="20"/>
        </w:rPr>
        <w:t>28. Restricted net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laws and regulations permit payments of dividends by the Group’s subsidiaries incorporated in the PRC only out of their retained earnings, if any, as determined in accordance with PRC accounting standards and regulations. In addition, the Group’s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Group’s subsidiaries incorporated in the PRC are restricted in their ability to transfer a portion of their net assets to the Group in the form of dividends. Furthermore, cash transfers from the Company’s PRC subsidiaries to their parent companies outside of China are subject to PRC government control of currency conversion. Shortages in the availability of foreign currency may temporarily delay the ability of the PRC subsidiaries and consolidated affiliated entities to remit sufficient foreign currency to pay dividends or other payments to the Company, or otherwise satisfy their foreign currency denominated obligations. The restriction amounted to RMB 15,258,904 as of December 31, 2022. Except for the above or disclosed elsewhere, there is no other restriction on the use of proceeds generated by the Group’s subsidiaries to satisfy any obligations of the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Group performed a test on the restricted net assets of its subsidiaries and VIEs in accordance with Securities and Exchange Commission Regulation S-X Rule 4-08 (e) (3), “General Notes to Financial Statements” and concluded that the restricted net assets do not exceed 25% of the consolidated net assets of the Group as of December 31, 2022 and the condensed financial information of the parent company are not required to be presented.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F-78</w:t>
      </w:r>
      <w:r>
        <w:br w:type="page"/>
      </w:r>
    </w:p>
    <w:p>
      <w:pPr>
        <w:pStyle w:val="TextBody"/>
        <w:spacing w:before="0" w:after="0"/>
        <w:ind w:left="0" w:right="0" w:hanging="0"/>
        <w:jc w:val="right"/>
        <w:rPr>
          <w:rFonts w:ascii="Times New Roman;Times;serif" w:hAnsi="Times New Roman;Times;serif"/>
          <w:b/>
          <w:sz w:val="20"/>
        </w:rPr>
      </w:pPr>
      <w:bookmarkStart w:id="2569" w:name="didi-20221231xex8d1.htm"/>
      <w:bookmarkStart w:id="2570" w:name="ksdidi20221231xex8d1"/>
      <w:bookmarkEnd w:id="2569"/>
      <w:bookmarkEnd w:id="2570"/>
      <w:r>
        <w:rPr>
          <w:rFonts w:ascii="Times New Roman;Times;serif" w:hAnsi="Times New Roman;Times;serif"/>
          <w:b/>
          <w:sz w:val="20"/>
        </w:rPr>
        <w:t>Exhibit 8.1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Subsidiaries and VIEs of the Registrant</w:t>
      </w:r>
    </w:p>
    <w:p>
      <w:pPr>
        <w:pStyle w:val="TextBody"/>
        <w:spacing w:before="0" w:after="0"/>
        <w:ind w:left="0" w:right="0" w:hanging="0"/>
        <w:rPr/>
      </w:pPr>
      <w:r>
        <w:rPr/>
        <w:t>​</w:t>
      </w:r>
    </w:p>
    <w:tbl>
      <w:tblPr>
        <w:tblW w:w="7382" w:type="dxa"/>
        <w:jc w:val="center"/>
        <w:tblInd w:w="0" w:type="dxa"/>
        <w:tblCellMar>
          <w:top w:w="0" w:type="dxa"/>
          <w:left w:w="0" w:type="dxa"/>
          <w:bottom w:w="0" w:type="dxa"/>
          <w:right w:w="0" w:type="dxa"/>
        </w:tblCellMar>
      </w:tblPr>
      <w:tblGrid>
        <w:gridCol w:w="5311"/>
        <w:gridCol w:w="2071"/>
      </w:tblGrid>
      <w:tr>
        <w:trPr/>
        <w:tc>
          <w:tcPr>
            <w:tcW w:w="5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3372485" cy="175260"/>
                      <wp:effectExtent l="0" t="0" r="0" b="0"/>
                      <wp:wrapNone/>
                      <wp:docPr id="734" name="Frame727"/>
                      <a:graphic xmlns:a="http://schemas.openxmlformats.org/drawingml/2006/main">
                        <a:graphicData uri="http://schemas.microsoft.com/office/word/2010/wordprocessingShape">
                          <wps:wsp>
                            <wps:cNvSpPr txBox="1"/>
                            <wps:spPr>
                              <a:xfrm>
                                <a:off x="0" y="0"/>
                                <a:ext cx="3372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15720" cy="175260"/>
                      <wp:effectExtent l="0" t="0" r="0" b="0"/>
                      <wp:wrapNone/>
                      <wp:docPr id="735" name="Frame728"/>
                      <a:graphic xmlns:a="http://schemas.openxmlformats.org/drawingml/2006/main">
                        <a:graphicData uri="http://schemas.microsoft.com/office/word/2010/wordprocessingShape">
                          <wps:wsp>
                            <wps:cNvSpPr txBox="1"/>
                            <wps:spPr>
                              <a:xfrm>
                                <a:off x="0" y="0"/>
                                <a:ext cx="1315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Subsidiaries</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Soda Technology Inc.</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Voyager Group Inc.</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City Puzzle Holdings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Cayman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Marvelous Yarra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Cheering Venture Global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Holly Universal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British Virgin Islands</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City Puzzle (HK)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(HK) Science and Technology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Xiaoju Science and Technology (Hong Kong)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Voyager (HK) Co.,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Holly Universal (HK) Limited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DiDi Infinity Technology and Development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Kuaidi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Qingqi Science and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Chongqing West Coast Microfinance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Freight Infinity Technology and Development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Qian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Qisheng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Chesheng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Wubo Information and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Guangzhou Woya Technology Co., Ltd. </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Beijing Voyager Technology Co., Ltd. </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Fujian Province Rongju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 Tecnologia Ltda</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Brazil</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Luibimex, S.A. De C.V.</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Mobility México, S.A. De C.V.</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Mexico</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Mobility Information Technology Pte.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Singapore</w:t>
            </w:r>
          </w:p>
        </w:tc>
      </w:tr>
      <w:tr>
        <w:trPr/>
        <w:tc>
          <w:tcPr>
            <w:tcW w:w="531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jc w:val="right"/>
              <w:rPr/>
            </w:pPr>
            <w:r>
              <w:rPr/>
              <w:t>​</w:t>
            </w:r>
          </w:p>
        </w:tc>
      </w:tr>
      <w:tr>
        <w:trPr/>
        <w:tc>
          <w:tcPr>
            <w:tcW w:w="53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VIE:</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Xiaoju Science and Technology Co., Ltd.</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Xiaomuji Software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DiDi Woya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jc w:val="right"/>
              <w:rPr/>
            </w:pPr>
            <w:r>
              <w:rPr/>
              <w:t>​</w:t>
            </w:r>
          </w:p>
        </w:tc>
      </w:tr>
      <w:tr>
        <w:trPr/>
        <w:tc>
          <w:tcPr>
            <w:tcW w:w="53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Subsidiaries of VIEs:</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3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Chuxing (Beijing) Network Platform Technology Co., Ltd.</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Chuxing Science and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Chongqing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Guangxi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Hunan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DiDi Changxing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Henan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DiDi Youxing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Xiamen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Jiangxi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Shaanxi DiDi Chuxing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Dirun (Tianjin)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Didi Commercial Service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r>
        <w:trPr/>
        <w:tc>
          <w:tcPr>
            <w:tcW w:w="5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Fangxiang Infinity Technology Co., Ltd.</w:t>
            </w:r>
          </w:p>
        </w:tc>
        <w:tc>
          <w:tcPr>
            <w:tcW w:w="2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71" w:name="didi-20221231xex12d1.htm"/>
      <w:bookmarkStart w:id="2572" w:name="ksdidi20221231xex12d1"/>
      <w:bookmarkEnd w:id="2571"/>
      <w:bookmarkEnd w:id="2572"/>
      <w:r>
        <w:rPr>
          <w:rFonts w:ascii="Times New Roman;Times;serif" w:hAnsi="Times New Roman;Times;serif"/>
          <w:b/>
          <w:sz w:val="20"/>
        </w:rPr>
        <w:t>Exhibit 12.1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Will Wei Cheng, certify that:</w:t>
      </w:r>
    </w:p>
    <w:p>
      <w:pPr>
        <w:pStyle w:val="TextBody"/>
        <w:spacing w:before="0" w:after="0"/>
        <w:ind w:left="0" w:right="0" w:hanging="0"/>
        <w:jc w:val="both"/>
        <w:rPr/>
      </w:pPr>
      <w:r>
        <w:rPr/>
        <w:t>​</w:t>
      </w:r>
    </w:p>
    <w:tbl>
      <w:tblPr>
        <w:tblW w:w="7165" w:type="dxa"/>
        <w:jc w:val="left"/>
        <w:tblInd w:w="0" w:type="dxa"/>
        <w:tblCellMar>
          <w:top w:w="0" w:type="dxa"/>
          <w:left w:w="0" w:type="dxa"/>
          <w:bottom w:w="0" w:type="dxa"/>
          <w:right w:w="0" w:type="dxa"/>
        </w:tblCellMar>
      </w:tblPr>
      <w:tblGrid>
        <w:gridCol w:w="170"/>
        <w:gridCol w:w="699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9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DiDi Global Inc. (the “Company”);</w:t>
            </w:r>
          </w:p>
        </w:tc>
      </w:tr>
    </w:tbl>
    <w:p>
      <w:pPr>
        <w:pStyle w:val="TextBody"/>
        <w:spacing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209"/>
        <w:gridCol w:w="9973"/>
      </w:tblGrid>
      <w:tr>
        <w:trPr/>
        <w:tc>
          <w:tcPr>
            <w:tcW w:w="2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pPr>
      <w:r>
        <w:rPr/>
        <w:t>​</w:t>
      </w:r>
    </w:p>
    <w:tbl>
      <w:tblPr>
        <w:tblW w:w="2826" w:type="dxa"/>
        <w:jc w:val="center"/>
        <w:tblInd w:w="0" w:type="dxa"/>
        <w:tblCellMar>
          <w:top w:w="0" w:type="dxa"/>
          <w:left w:w="0" w:type="dxa"/>
          <w:bottom w:w="0" w:type="dxa"/>
          <w:right w:w="0" w:type="dxa"/>
        </w:tblCellMar>
      </w:tblPr>
      <w:tblGrid>
        <w:gridCol w:w="646"/>
        <w:gridCol w:w="2026"/>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672"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67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Will Wei Cheng</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 Wei Cheng</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73" w:name="didi-20221231xex12d2.htm"/>
      <w:bookmarkStart w:id="2574" w:name="ksdidi20221231xex12d2"/>
      <w:bookmarkEnd w:id="2573"/>
      <w:bookmarkEnd w:id="2574"/>
      <w:r>
        <w:rPr>
          <w:rFonts w:ascii="Times New Roman;Times;serif" w:hAnsi="Times New Roman;Times;serif"/>
          <w:b/>
          <w:sz w:val="20"/>
        </w:rPr>
        <w:t>Exhibit 12.2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Alan Yue Zhuo, certify that:</w:t>
      </w:r>
    </w:p>
    <w:p>
      <w:pPr>
        <w:pStyle w:val="TextBody"/>
        <w:spacing w:before="0" w:after="0"/>
        <w:ind w:left="0" w:right="0" w:hanging="0"/>
        <w:jc w:val="both"/>
        <w:rPr/>
      </w:pPr>
      <w:r>
        <w:rPr/>
        <w:t>​</w:t>
      </w:r>
    </w:p>
    <w:tbl>
      <w:tblPr>
        <w:tblW w:w="7165" w:type="dxa"/>
        <w:jc w:val="left"/>
        <w:tblInd w:w="0" w:type="dxa"/>
        <w:tblCellMar>
          <w:top w:w="0" w:type="dxa"/>
          <w:left w:w="0" w:type="dxa"/>
          <w:bottom w:w="0" w:type="dxa"/>
          <w:right w:w="0" w:type="dxa"/>
        </w:tblCellMar>
      </w:tblPr>
      <w:tblGrid>
        <w:gridCol w:w="170"/>
        <w:gridCol w:w="699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9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DiDi Global Inc. (the “Company”);</w:t>
            </w:r>
          </w:p>
        </w:tc>
      </w:tr>
    </w:tbl>
    <w:p>
      <w:pPr>
        <w:pStyle w:val="TextBody"/>
        <w:spacing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209"/>
        <w:gridCol w:w="9973"/>
      </w:tblGrid>
      <w:tr>
        <w:trPr/>
        <w:tc>
          <w:tcPr>
            <w:tcW w:w="2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pPr>
      <w:r>
        <w:rPr/>
        <w:t>​</w:t>
      </w:r>
    </w:p>
    <w:tbl>
      <w:tblPr>
        <w:tblW w:w="2766" w:type="dxa"/>
        <w:jc w:val="center"/>
        <w:tblInd w:w="0" w:type="dxa"/>
        <w:tblCellMar>
          <w:top w:w="0" w:type="dxa"/>
          <w:left w:w="0" w:type="dxa"/>
          <w:bottom w:w="0" w:type="dxa"/>
          <w:right w:w="0" w:type="dxa"/>
        </w:tblCellMar>
      </w:tblPr>
      <w:tblGrid>
        <w:gridCol w:w="646"/>
        <w:gridCol w:w="1966"/>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248410" cy="29210"/>
                      <wp:effectExtent l="0" t="0" r="0" b="0"/>
                      <wp:wrapNone/>
                      <wp:docPr id="736" name="Frame729"/>
                      <a:graphic xmlns:a="http://schemas.openxmlformats.org/drawingml/2006/main">
                        <a:graphicData uri="http://schemas.microsoft.com/office/word/2010/wordprocessingShape">
                          <wps:wsp>
                            <wps:cNvSpPr txBox="1"/>
                            <wps:spPr>
                              <a:xfrm>
                                <a:off x="0" y="0"/>
                                <a:ext cx="12484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612"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 Alan Yue Zhuo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Alan Yue Zhuo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75" w:name="didi-20221231xex13d1.htm"/>
      <w:bookmarkStart w:id="2576" w:name="ksdidi20221231xex13d1"/>
      <w:bookmarkEnd w:id="2575"/>
      <w:bookmarkEnd w:id="2576"/>
      <w:r>
        <w:rPr>
          <w:rFonts w:ascii="Times New Roman;Times;serif" w:hAnsi="Times New Roman;Times;serif"/>
          <w:b/>
          <w:sz w:val="20"/>
        </w:rPr>
        <w:t>Exhibit 13.1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Annual Report of DiDi Global Inc. (the “Company”) on Form 20-F for the fiscal year ended December 31, 2022 as filed with the Securities and Exchange Commission on the date hereof (the “Report”), I, Will Wei Cheng, Chief Executive Officer of the Company, certify, pursuant to 18 U.S.C. Section 1350, as adopted pursuant to Section 906 of the Sarbanes-Oxley Act of 2002, that to my knowledge:</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spacing w:before="0" w:after="0"/>
        <w:ind w:left="108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2871" w:type="dxa"/>
        <w:jc w:val="center"/>
        <w:tblInd w:w="0" w:type="dxa"/>
        <w:tblCellMar>
          <w:top w:w="0" w:type="dxa"/>
          <w:left w:w="0" w:type="dxa"/>
          <w:bottom w:w="0" w:type="dxa"/>
          <w:right w:w="0" w:type="dxa"/>
        </w:tblCellMar>
      </w:tblPr>
      <w:tblGrid>
        <w:gridCol w:w="646"/>
        <w:gridCol w:w="2071"/>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315085" cy="29210"/>
                      <wp:effectExtent l="0" t="0" r="0" b="0"/>
                      <wp:wrapNone/>
                      <wp:docPr id="737" name="Frame730"/>
                      <a:graphic xmlns:a="http://schemas.openxmlformats.org/drawingml/2006/main">
                        <a:graphicData uri="http://schemas.microsoft.com/office/word/2010/wordprocessingShape">
                          <wps:wsp>
                            <wps:cNvSpPr txBox="1"/>
                            <wps:spPr>
                              <a:xfrm>
                                <a:off x="0" y="0"/>
                                <a:ext cx="1315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71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717"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 Will Wei Cheng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Will Wei Cheng</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Executive Officer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77" w:name="didi-20221231xex13d2.htm"/>
      <w:bookmarkStart w:id="2578" w:name="ksdidi20221231xex13d2"/>
      <w:bookmarkEnd w:id="2577"/>
      <w:bookmarkEnd w:id="2578"/>
      <w:r>
        <w:rPr>
          <w:rFonts w:ascii="Times New Roman;Times;serif" w:hAnsi="Times New Roman;Times;serif"/>
          <w:b/>
          <w:sz w:val="20"/>
        </w:rPr>
        <w:t>Exhibit 13.2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Annual Report of DiDi Global Inc. (the “Company”) on Form 20-F for the fiscal year ended December 31, 2022 as filed with the Securities and Exchange Commission on the date hereof (the “Report”), I, Alan Yue Zhuo, Chief Financial Officer of the Company, certify, pursuant to 18 U.S.C. Section 1350, as adopted pursuant to Section 906 of the Sarbanes-Oxley Act of 2002, that to my knowledge:</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2766" w:type="dxa"/>
        <w:jc w:val="center"/>
        <w:tblInd w:w="0" w:type="dxa"/>
        <w:tblCellMar>
          <w:top w:w="0" w:type="dxa"/>
          <w:left w:w="0" w:type="dxa"/>
          <w:bottom w:w="0" w:type="dxa"/>
          <w:right w:w="0" w:type="dxa"/>
        </w:tblCellMar>
      </w:tblPr>
      <w:tblGrid>
        <w:gridCol w:w="646"/>
        <w:gridCol w:w="1966"/>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410210" cy="29210"/>
                      <wp:effectExtent l="0" t="0" r="0" b="0"/>
                      <wp:wrapNone/>
                      <wp:docPr id="738" name="Frame731"/>
                      <a:graphic xmlns:a="http://schemas.openxmlformats.org/drawingml/2006/main">
                        <a:graphicData uri="http://schemas.microsoft.com/office/word/2010/wordprocessingShape">
                          <wps:wsp>
                            <wps:cNvSpPr txBox="1"/>
                            <wps:spPr>
                              <a:xfrm>
                                <a:off x="0" y="0"/>
                                <a:ext cx="410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248410" cy="29210"/>
                      <wp:effectExtent l="0" t="0" r="0" b="0"/>
                      <wp:wrapNone/>
                      <wp:docPr id="739" name="Frame732"/>
                      <a:graphic xmlns:a="http://schemas.openxmlformats.org/drawingml/2006/main">
                        <a:graphicData uri="http://schemas.microsoft.com/office/word/2010/wordprocessingShape">
                          <wps:wsp>
                            <wps:cNvSpPr txBox="1"/>
                            <wps:spPr>
                              <a:xfrm>
                                <a:off x="0" y="0"/>
                                <a:ext cx="12484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612"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61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 Alan Yue Zhuo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Alan Yue Zhuo</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pBdr/>
        <w:spacing w:before="0" w:after="0"/>
        <w:ind w:left="0" w:right="0" w:hanging="0"/>
        <w:jc w:val="right"/>
        <w:rPr>
          <w:rFonts w:ascii="Times New Roman;Times;serif" w:hAnsi="Times New Roman;Times;serif"/>
          <w:b/>
          <w:sz w:val="20"/>
        </w:rPr>
      </w:pPr>
      <w:bookmarkStart w:id="2579" w:name="didi-20221231xex15d1.htm"/>
      <w:bookmarkStart w:id="2580" w:name="ksdidi20221231xex15d1"/>
      <w:bookmarkEnd w:id="2579"/>
      <w:bookmarkEnd w:id="2580"/>
      <w:r>
        <w:rPr>
          <w:rFonts w:ascii="Times New Roman;Times;serif" w:hAnsi="Times New Roman;Times;serif"/>
          <w:b/>
          <w:sz w:val="20"/>
        </w:rPr>
        <w:t>Exhibit 15.1</w:t>
      </w:r>
    </w:p>
    <w:p>
      <w:pPr>
        <w:pStyle w:val="TextBody"/>
        <w:pBdr/>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(File No. 333-262249) of DiDi Global Inc. of our report dated April 28, 2023 relating to the financial statements and the effectiveness of internal control over financial reporting of DiDi Global Inc., which appears in this Form 20-F.</w:t>
      </w:r>
    </w:p>
    <w:p>
      <w:pPr>
        <w:pStyle w:val="TextBody"/>
        <w:pBdr/>
        <w:spacing w:before="0" w:after="0"/>
        <w:ind w:left="0" w:right="0" w:hanging="0"/>
        <w:jc w:val="both"/>
        <w:rPr/>
      </w:pPr>
      <w:r>
        <w:rPr/>
        <w:t>​</w:t>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/s/ PricewaterhouseCoopers Zhong Tian LLP</w:t>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Beijing, the People’s Republic of China</w:t>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April 28,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81" w:name="didi-20221231xex15d2.htm"/>
      <w:bookmarkStart w:id="2582" w:name="ksdidi20221231xex15d2"/>
      <w:bookmarkEnd w:id="2581"/>
      <w:bookmarkEnd w:id="2582"/>
      <w:r>
        <w:rPr>
          <w:rFonts w:ascii="Times New Roman;Times;serif" w:hAnsi="Times New Roman;Times;serif"/>
          <w:b/>
          <w:sz w:val="20"/>
        </w:rPr>
        <w:t>Exhibit 15.2</w:t>
      </w:r>
    </w:p>
    <w:p>
      <w:pPr>
        <w:pStyle w:val="TextBody"/>
        <w:spacing w:before="0" w:after="0"/>
        <w:ind w:left="0" w:right="0" w:hanging="0"/>
        <w:jc w:val="right"/>
        <w:rPr/>
      </w:pPr>
      <w:r>
        <w:rPr/>
        <w:t>​</w:t>
      </w:r>
    </w:p>
    <w:p>
      <w:pPr>
        <w:pStyle w:val="TextBody"/>
        <w:spacing w:before="0" w:after="240"/>
        <w:ind w:left="0" w:right="0" w:hanging="0"/>
        <w:jc w:val="center"/>
        <w:rPr/>
      </w:pPr>
      <w:r>
        <w:rPr/>
        <w:drawing>
          <wp:inline distT="0" distB="0" distL="0" distR="0">
            <wp:extent cx="2155190" cy="249555"/>
            <wp:effectExtent l="0" t="0" r="0" b="0"/>
            <wp:docPr id="7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8" descr=""/>
                    <pic:cNvPicPr>
                      <a:picLocks noChangeAspect="1" noChangeArrowheads="1"/>
                    </pic:cNvPicPr>
                  </pic:nvPicPr>
                  <pic:blipFill>
                    <a:blip r:embed="rId25"/>
                    <a:stretch>
                      <a:fillRect/>
                    </a:stretch>
                  </pic:blipFill>
                  <pic:spPr bwMode="auto">
                    <a:xfrm>
                      <a:off x="0" y="0"/>
                      <a:ext cx="2155190" cy="249555"/>
                    </a:xfrm>
                    <a:prstGeom prst="rect">
                      <a:avLst/>
                    </a:prstGeom>
                  </pic:spPr>
                </pic:pic>
              </a:graphicData>
            </a:graphic>
          </wp:inline>
        </w:drawing>
      </w:r>
    </w:p>
    <w:p>
      <w:pPr>
        <w:pStyle w:val="TextBody"/>
        <w:spacing w:before="0" w:after="240"/>
        <w:ind w:left="0" w:right="0" w:hanging="0"/>
        <w:jc w:val="center"/>
        <w:rPr>
          <w:rFonts w:ascii="Times New Roman;Times;serif" w:hAnsi="Times New Roman;Times;serif"/>
          <w:sz w:val="28"/>
        </w:rPr>
      </w:pPr>
      <w:r>
        <w:rPr>
          <w:rFonts w:ascii="Times New Roman;Times;serif" w:hAnsi="Times New Roman;Times;serif"/>
          <w:sz w:val="28"/>
        </w:rPr>
        <w:t>FANGDA PARTNERS</w:t>
      </w:r>
    </w:p>
    <w:p>
      <w:pPr>
        <w:pStyle w:val="TextBody"/>
        <w:spacing w:before="0" w:after="240"/>
        <w:ind w:left="0" w:right="0" w:hanging="0"/>
        <w:jc w:val="center"/>
        <w:rPr/>
      </w:pPr>
      <w:r>
        <w:rPr>
          <w:rFonts w:eastAsia="SimSun"/>
          <w:sz w:val="20"/>
        </w:rPr>
        <w:t>北京</w:t>
      </w:r>
      <w:r>
        <w:rPr>
          <w:rFonts w:ascii="Times New Roman;Times;serif" w:hAnsi="Times New Roman;Times;serif"/>
          <w:sz w:val="20"/>
        </w:rPr>
        <w:t>Beijing●</w:t>
      </w:r>
      <w:r>
        <w:rPr>
          <w:rFonts w:eastAsia="SimSun"/>
          <w:sz w:val="20"/>
        </w:rPr>
        <w:t>上海</w:t>
      </w:r>
      <w:r>
        <w:rPr>
          <w:rFonts w:ascii="Times New Roman;Times;serif" w:hAnsi="Times New Roman;Times;serif"/>
          <w:sz w:val="20"/>
        </w:rPr>
        <w:t>Shanghai●</w:t>
      </w:r>
      <w:r>
        <w:rPr>
          <w:rFonts w:eastAsia="SimSun"/>
          <w:sz w:val="20"/>
        </w:rPr>
        <w:t>广州</w:t>
      </w:r>
      <w:r>
        <w:rPr>
          <w:rFonts w:ascii="Times New Roman;Times;serif" w:hAnsi="Times New Roman;Times;serif"/>
          <w:sz w:val="20"/>
        </w:rPr>
        <w:t>Guangzhou●</w:t>
      </w:r>
      <w:r>
        <w:rPr>
          <w:rFonts w:eastAsia="SimSun"/>
          <w:sz w:val="20"/>
        </w:rPr>
        <w:t>深圳</w:t>
      </w:r>
      <w:r>
        <w:rPr>
          <w:rFonts w:ascii="Times New Roman;Times;serif" w:hAnsi="Times New Roman;Times;serif"/>
          <w:sz w:val="20"/>
        </w:rPr>
        <w:t>Shenzhen●</w:t>
      </w:r>
      <w:r>
        <w:rPr>
          <w:rFonts w:eastAsia="SimSun"/>
          <w:sz w:val="20"/>
        </w:rPr>
        <w:t>香港</w:t>
      </w:r>
      <w:r>
        <w:rPr>
          <w:rFonts w:ascii="Times New Roman;Times;serif" w:hAnsi="Times New Roman;Times;serif"/>
          <w:sz w:val="20"/>
        </w:rPr>
        <w:t>Hong Kong</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http://www.fangdalaw.com</w:t>
      </w:r>
    </w:p>
    <w:p>
      <w:pPr>
        <w:pStyle w:val="TextBody"/>
        <w:spacing w:before="0" w:after="0"/>
        <w:ind w:left="0" w:right="0" w:hanging="0"/>
        <w:rPr/>
      </w:pPr>
      <w:r>
        <w:rPr/>
        <w:t>​</w:t>
      </w:r>
    </w:p>
    <w:tbl>
      <w:tblPr>
        <w:tblW w:w="9183" w:type="dxa"/>
        <w:jc w:val="center"/>
        <w:tblInd w:w="0" w:type="dxa"/>
        <w:tblCellMar>
          <w:top w:w="0" w:type="dxa"/>
          <w:left w:w="0" w:type="dxa"/>
          <w:bottom w:w="0" w:type="dxa"/>
          <w:right w:w="0" w:type="dxa"/>
        </w:tblCellMar>
      </w:tblPr>
      <w:tblGrid>
        <w:gridCol w:w="3391"/>
        <w:gridCol w:w="3391"/>
        <w:gridCol w:w="2401"/>
      </w:tblGrid>
      <w:tr>
        <w:trPr/>
        <w:tc>
          <w:tcPr>
            <w:tcW w:w="3391" w:type="dxa"/>
            <w:vMerge w:val="restart"/>
            <w:tcBorders/>
            <w:shd w:fill="auto" w:val="clear"/>
            <w:vAlign w:val="center"/>
          </w:tcPr>
          <w:p>
            <w:pPr>
              <w:pStyle w:val="TableContents"/>
              <w:spacing w:before="0" w:after="120"/>
              <w:ind w:left="0" w:right="0" w:hanging="0"/>
              <w:rPr>
                <w:rFonts w:eastAsia="SimSun"/>
                <w:sz w:val="20"/>
              </w:rPr>
            </w:pPr>
            <w:r>
              <w:rPr>
                <w:rFonts w:eastAsia="SimSun"/>
                <w:sz w:val="20"/>
              </w:rPr>
              <w:t>中国北京市朝阳区光华路一号</w:t>
            </w:r>
          </w:p>
          <w:p>
            <w:pPr>
              <w:pStyle w:val="TableContents"/>
              <w:spacing w:before="0" w:after="120"/>
              <w:ind w:left="0" w:right="0" w:hanging="0"/>
              <w:rPr/>
            </w:pPr>
            <w:r>
              <w:rPr>
                <w:rFonts w:eastAsia="SimSun"/>
                <w:sz w:val="20"/>
              </w:rPr>
              <w:t>北京嘉里中心北楼</w:t>
            </w:r>
            <w:r>
              <w:rPr>
                <w:rFonts w:ascii="Times New Roman;Times;serif" w:hAnsi="Times New Roman;Times;serif"/>
                <w:sz w:val="20"/>
              </w:rPr>
              <w:t>27</w:t>
            </w:r>
            <w:r>
              <w:rPr>
                <w:rFonts w:eastAsia="SimSun"/>
                <w:sz w:val="20"/>
              </w:rPr>
              <w:t>层</w:t>
            </w:r>
          </w:p>
          <w:p>
            <w:pPr>
              <w:pStyle w:val="TableContents"/>
              <w:spacing w:before="0" w:after="200"/>
              <w:ind w:left="0" w:right="0" w:hanging="0"/>
              <w:rPr/>
            </w:pPr>
            <w:r>
              <w:rPr>
                <w:rFonts w:eastAsia="SimSun"/>
                <w:sz w:val="20"/>
              </w:rPr>
              <w:t>邮政编码：</w:t>
            </w:r>
            <w:r>
              <w:rPr>
                <w:rFonts w:ascii="Times New Roman;Times;serif" w:hAnsi="Times New Roman;Times;serif"/>
                <w:sz w:val="20"/>
              </w:rPr>
              <w:t>100020</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27/F, North Tower, Beijing Kerry Centre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 Guanghua Road, Chaoyang District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100020, PRC</w:t>
            </w:r>
          </w:p>
        </w:tc>
        <w:tc>
          <w:tcPr>
            <w:tcW w:w="3391" w:type="dxa"/>
            <w:tcBorders/>
            <w:shd w:fill="auto" w:val="clear"/>
            <w:vAlign w:val="center"/>
          </w:tcPr>
          <w:p>
            <w:pPr>
              <w:pStyle w:val="TableContents"/>
              <w:spacing w:before="0" w:after="0"/>
              <w:ind w:left="0" w:right="0" w:hanging="0"/>
              <w:rPr/>
            </w:pPr>
            <w:r>
              <w:rPr>
                <w:rFonts w:eastAsia="SimSun"/>
                <w:b w:val="false"/>
                <w:i w:val="false"/>
                <w:caps w:val="false"/>
                <w:smallCaps w:val="false"/>
                <w:sz w:val="20"/>
              </w:rPr>
              <w:t>电子邮件</w:t>
            </w:r>
            <w:r>
              <w:rPr>
                <w:rFonts w:ascii="Times New Roman;Times;serif" w:hAnsi="Times New Roman;Times;serif"/>
                <w:sz w:val="20"/>
              </w:rPr>
              <w:t xml:space="preserve">E-mail:email@fangdalaw.com </w:t>
            </w:r>
          </w:p>
        </w:tc>
        <w:tc>
          <w:tcPr>
            <w:tcW w:w="240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391" w:type="dxa"/>
            <w:vMerge w:val="continue"/>
            <w:tcBorders/>
            <w:shd w:fill="auto" w:val="clear"/>
            <w:vAlign w:val="center"/>
          </w:tcPr>
          <w:p>
            <w:pPr>
              <w:pStyle w:val="Normal"/>
              <w:rPr/>
            </w:pPr>
            <w:r>
              <w:rPr/>
            </w:r>
          </w:p>
        </w:tc>
        <w:tc>
          <w:tcPr>
            <w:tcW w:w="3391"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rPr/>
            </w:pPr>
            <w:r>
              <w:rPr>
                <w:rFonts w:eastAsia="SimSun"/>
                <w:b w:val="false"/>
                <w:i w:val="false"/>
                <w:caps w:val="false"/>
                <w:smallCaps w:val="false"/>
                <w:sz w:val="20"/>
              </w:rPr>
              <w:t>电</w:t>
            </w:r>
            <w:r>
              <w:rPr>
                <w:rFonts w:eastAsia="Times New Roman;Times;serif"/>
                <w:caps w:val="false"/>
                <w:smallCaps w:val="false"/>
                <w:sz w:val="20"/>
              </w:rPr>
              <w:t xml:space="preserve"> </w:t>
            </w:r>
            <w:r>
              <w:rPr>
                <w:rFonts w:eastAsia="SimSun"/>
                <w:b w:val="false"/>
                <w:i w:val="false"/>
                <w:caps w:val="false"/>
                <w:smallCaps w:val="false"/>
                <w:sz w:val="20"/>
              </w:rPr>
              <w:t>话</w:t>
            </w:r>
            <w:r>
              <w:rPr>
                <w:rFonts w:ascii="Times New Roman;Times;serif" w:hAnsi="Times New Roman;Times;serif"/>
                <w:sz w:val="20"/>
              </w:rPr>
              <w:t>Tel.:86-10-5769-5600</w:t>
            </w:r>
          </w:p>
        </w:tc>
      </w:tr>
      <w:tr>
        <w:trPr/>
        <w:tc>
          <w:tcPr>
            <w:tcW w:w="3391" w:type="dxa"/>
            <w:vMerge w:val="continue"/>
            <w:tcBorders/>
            <w:shd w:fill="auto" w:val="clear"/>
            <w:vAlign w:val="center"/>
          </w:tcPr>
          <w:p>
            <w:pPr>
              <w:pStyle w:val="Normal"/>
              <w:rPr/>
            </w:pPr>
            <w:r>
              <w:rPr/>
            </w:r>
          </w:p>
        </w:tc>
        <w:tc>
          <w:tcPr>
            <w:tcW w:w="3391"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rPr/>
            </w:pPr>
            <w:r>
              <w:rPr>
                <w:rFonts w:eastAsia="SimSun"/>
                <w:b w:val="false"/>
                <w:i w:val="false"/>
                <w:caps w:val="false"/>
                <w:smallCaps w:val="false"/>
                <w:sz w:val="20"/>
              </w:rPr>
              <w:t>传</w:t>
            </w:r>
            <w:r>
              <w:rPr>
                <w:rFonts w:eastAsia="Times New Roman;Times;serif"/>
                <w:caps w:val="false"/>
                <w:smallCaps w:val="false"/>
                <w:sz w:val="20"/>
              </w:rPr>
              <w:t xml:space="preserve"> </w:t>
            </w:r>
            <w:r>
              <w:rPr>
                <w:rFonts w:eastAsia="SimSun"/>
                <w:b w:val="false"/>
                <w:i w:val="false"/>
                <w:caps w:val="false"/>
                <w:smallCaps w:val="false"/>
                <w:sz w:val="20"/>
              </w:rPr>
              <w:t>真</w:t>
            </w:r>
            <w:r>
              <w:rPr>
                <w:rFonts w:ascii="Times New Roman;Times;serif" w:hAnsi="Times New Roman;Times;serif"/>
                <w:sz w:val="20"/>
              </w:rPr>
              <w:t>Fax:86-10-5769-5799</w:t>
            </w:r>
          </w:p>
        </w:tc>
      </w:tr>
      <w:tr>
        <w:trPr/>
        <w:tc>
          <w:tcPr>
            <w:tcW w:w="3391" w:type="dxa"/>
            <w:vMerge w:val="continue"/>
            <w:tcBorders/>
            <w:shd w:fill="auto" w:val="clear"/>
            <w:vAlign w:val="center"/>
          </w:tcPr>
          <w:p>
            <w:pPr>
              <w:pStyle w:val="Normal"/>
              <w:rPr/>
            </w:pPr>
            <w:r>
              <w:rPr/>
            </w:r>
          </w:p>
        </w:tc>
        <w:tc>
          <w:tcPr>
            <w:tcW w:w="3391"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rPr/>
            </w:pPr>
            <w:r>
              <w:rPr/>
              <w:t>​</w:t>
            </w:r>
          </w:p>
        </w:tc>
      </w:tr>
      <w:tr>
        <w:trPr/>
        <w:tc>
          <w:tcPr>
            <w:tcW w:w="3391" w:type="dxa"/>
            <w:vMerge w:val="continue"/>
            <w:tcBorders/>
            <w:shd w:fill="auto" w:val="clear"/>
            <w:vAlign w:val="center"/>
          </w:tcPr>
          <w:p>
            <w:pPr>
              <w:pStyle w:val="Normal"/>
              <w:rPr/>
            </w:pPr>
            <w:r>
              <w:rPr/>
            </w:r>
          </w:p>
        </w:tc>
        <w:tc>
          <w:tcPr>
            <w:tcW w:w="3391"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rPr/>
            </w:pPr>
            <w:r>
              <w:rPr/>
              <w:t>​</w:t>
            </w:r>
          </w:p>
        </w:tc>
      </w:tr>
      <w:tr>
        <w:trPr/>
        <w:tc>
          <w:tcPr>
            <w:tcW w:w="3391" w:type="dxa"/>
            <w:vMerge w:val="continue"/>
            <w:tcBorders/>
            <w:shd w:fill="auto" w:val="clear"/>
            <w:vAlign w:val="center"/>
          </w:tcPr>
          <w:p>
            <w:pPr>
              <w:pStyle w:val="Normal"/>
              <w:rPr/>
            </w:pPr>
            <w:r>
              <w:rPr/>
            </w:r>
          </w:p>
        </w:tc>
        <w:tc>
          <w:tcPr>
            <w:tcW w:w="3391"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single" w:sz="6" w:space="0" w:color="000000"/>
        </w:pBdr>
        <w:spacing w:before="0" w:after="240"/>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28,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Dear Sirs,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consent to the references to our firm and the summaries of our opinions under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and “Item 4. Information on the Company—C. Organizational Structure—Contractual Arrangements with the Variable Interest Entities” in DiDi Global Inc.’s Annual Report on Form 20-F for the year ended December 31, 2022 (the “Annual Report”), which is filed with the Securities and Exchange Commission (the “SEC”) on the date hereof, and further consent to the incorporation by reference of the summaries of our opinions under these headings into the Registration Statement on Form S-8 (No. 333-262249) of DiDi Global Inc. We also consent to the filing with the SEC of this consent letter as an exhibit to the Annual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Yours faithfully,</w:t>
      </w:r>
    </w:p>
    <w:p>
      <w:pPr>
        <w:pStyle w:val="TextBody"/>
        <w:spacing w:before="0" w:after="0"/>
        <w:ind w:left="0" w:right="0" w:hanging="0"/>
        <w:rPr/>
      </w:pPr>
      <w:r>
        <w:rPr/>
        <w:t>​</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/s/ Fangda Partners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Fangda Partners</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583" w:name="didi-20221231xex15d3.htm"/>
      <w:bookmarkStart w:id="2584" w:name="ksdidi20221231xex15d3"/>
      <w:bookmarkEnd w:id="2583"/>
      <w:bookmarkEnd w:id="2584"/>
      <w:r>
        <w:rPr>
          <w:rFonts w:ascii="Times New Roman;Times;serif" w:hAnsi="Times New Roman;Times;serif"/>
          <w:b/>
          <w:sz w:val="20"/>
        </w:rPr>
        <w:t>Exhibit 15.3</w:t>
      </w:r>
    </w:p>
    <w:p>
      <w:pPr>
        <w:pStyle w:val="TextBody"/>
        <w:spacing w:before="0" w:after="0"/>
        <w:ind w:left="0" w:right="0" w:hanging="0"/>
        <w:rPr/>
      </w:pPr>
      <w:r>
        <w:rPr/>
        <w:t>​</w:t>
      </w:r>
    </w:p>
    <w:tbl>
      <w:tblPr>
        <w:tblW w:w="5293" w:type="dxa"/>
        <w:jc w:val="left"/>
        <w:tblInd w:w="0" w:type="dxa"/>
        <w:tblCellMar>
          <w:top w:w="0" w:type="dxa"/>
          <w:left w:w="0" w:type="dxa"/>
          <w:bottom w:w="0" w:type="dxa"/>
          <w:right w:w="0" w:type="dxa"/>
        </w:tblCellMar>
      </w:tblPr>
      <w:tblGrid>
        <w:gridCol w:w="1541"/>
        <w:gridCol w:w="736"/>
        <w:gridCol w:w="3016"/>
      </w:tblGrid>
      <w:tr>
        <w:trPr/>
        <w:tc>
          <w:tcPr>
            <w:tcW w:w="1541" w:type="dxa"/>
            <w:tcBorders/>
            <w:shd w:fill="auto" w:val="clear"/>
            <w:vAlign w:val="center"/>
          </w:tcPr>
          <w:p>
            <w:pPr>
              <w:pStyle w:val="TableContents"/>
              <w:spacing w:before="0" w:after="0"/>
              <w:ind w:left="0" w:right="0" w:hanging="0"/>
              <w:rPr/>
            </w:pPr>
            <w:r>
              <w:rPr/>
              <w:drawing>
                <wp:inline distT="0" distB="0" distL="0" distR="0">
                  <wp:extent cx="914400" cy="866775"/>
                  <wp:effectExtent l="0" t="0" r="0" b="0"/>
                  <wp:docPr id="7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9" descr=""/>
                          <pic:cNvPicPr>
                            <a:picLocks noChangeAspect="1" noChangeArrowheads="1"/>
                          </pic:cNvPicPr>
                        </pic:nvPicPr>
                        <pic:blipFill>
                          <a:blip r:embed="rId26"/>
                          <a:stretch>
                            <a:fillRect/>
                          </a:stretch>
                        </pic:blipFill>
                        <pic:spPr bwMode="auto">
                          <a:xfrm>
                            <a:off x="0" y="0"/>
                            <a:ext cx="914400" cy="866775"/>
                          </a:xfrm>
                          <a:prstGeom prst="rect">
                            <a:avLst/>
                          </a:prstGeom>
                        </pic:spPr>
                      </pic:pic>
                    </a:graphicData>
                  </a:graphic>
                </wp:inline>
              </w:drawing>
            </w:r>
          </w:p>
        </w:tc>
        <w:tc>
          <w:tcPr>
            <w:tcW w:w="7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Our ref</w:t>
            </w:r>
          </w:p>
        </w:tc>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SQG/701307-000011/25950123v1</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DiDi Global Inc.</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DiDi Xinchenghai</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Building 1, Yard 6, North Ring Road, Tangjialing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Haidian District, Beijing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People’s Republic of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28 April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DiDi Global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DiDi Global Inc., an exempted company incorporated in the Cayman Islands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2022 (the “</w:t>
      </w:r>
      <w:r>
        <w:rPr>
          <w:rFonts w:ascii="Times New Roman;Times;serif" w:hAnsi="Times New Roman;Times;serif"/>
          <w:b/>
          <w:sz w:val="20"/>
        </w:rPr>
        <w:t>Annual Report</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reference to our firm under the heading “Item 10.E. Additional Information—Taxation—Cayman Islands Taxation” in the Annual Report.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Yours faithfully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Maples and Calder (Hong Kong) LLP</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Maples and Calder (Hong Kong) LLP</w:t>
      </w:r>
    </w:p>
    <w:p>
      <w:pPr>
        <w:pStyle w:val="HorizontalLine"/>
        <w:rPr/>
      </w:pPr>
      <w:r>
        <w:rPr/>
      </w:r>
      <w:r>
        <w:br w:type="page"/>
      </w:r>
    </w:p>
    <w:p>
      <w:pPr>
        <w:pStyle w:val="TextBody"/>
        <w:spacing w:before="0" w:after="0"/>
        <w:ind w:left="0" w:right="0" w:hanging="0"/>
        <w:rPr/>
      </w:pPr>
      <w:bookmarkStart w:id="2585" w:name="didi-20221231xex15d4.htm"/>
      <w:bookmarkStart w:id="2586" w:name="ksdidi20221231xex15d4"/>
      <w:bookmarkEnd w:id="2585"/>
      <w:bookmarkEnd w:id="2586"/>
      <w:r>
        <w:rPr/>
        <w:t>​</w:t>
      </w:r>
    </w:p>
    <w:p>
      <w:pPr>
        <w:pStyle w:val="TextBody"/>
        <w:spacing w:before="0" w:after="240"/>
        <w:ind w:left="0" w:right="0" w:hanging="0"/>
        <w:jc w:val="right"/>
        <w:rPr>
          <w:rFonts w:ascii="Times New Roman;Times;serif" w:hAnsi="Times New Roman;Times;serif"/>
          <w:b/>
          <w:sz w:val="24"/>
        </w:rPr>
      </w:pPr>
      <w:r>
        <w:rPr>
          <w:rFonts w:ascii="Times New Roman;Times;serif" w:hAnsi="Times New Roman;Times;serif"/>
          <w:b/>
          <w:sz w:val="24"/>
        </w:rPr>
        <w:t>Exhibit 15.4</w:t>
      </w:r>
      <w:bookmarkStart w:id="2587" w:name="_57521"/>
      <w:bookmarkEnd w:id="2587"/>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Supplemental Submission Pursuant to Item 16I(a) of Form 20-F</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DiDi Global Inc. (the “Company”) is submitting via EDGAR the following information as required under Item 16I(a) of Form 20-F in relation to the Holding Foreign Companies Accountable Act (“HFCAA”).</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On June 1, 2022, the Company was conclusively identified by the U.S. Securities and Exchange Commission (the “SEC”) as a Commission-Identified Issuer pursuant to the HFCAA. The Company filed an annual report on Form 20-F for the year ended December 31, 2021 with the SEC on May 2, 2022, containing an audit report issued by PricewaterhouseCoopers Zhong Tian LLP, a registered public accounting firm retained by the Company, for the preparation of the audit report on the Company’s financial statements included therein. PricewaterhouseCoopers Zhong Tian LLP is a registered public accounting firm headquartered in mainland China, a jurisdiction where the Public Company Accounting Oversight Board (the “PCAOB”) had determined that it was unable to inspect or investigate completely registered public accounting firms that were headquartered there. The PCAOB subsequently vacated this determination in December 2022.</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In response to Item 16I(a) of Form 20-F, based on the following information, the Company believes it is not owned or controlled by a governmental entity in mainland China.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4"/>
        </w:rPr>
        <w:t>Mr. Will Wei Cheng, our founder and chairman of our board of directors, and Ms. Jean Qing Liu, our co-founder and executive director,</w:t>
      </w:r>
      <w:r>
        <w:rPr>
          <w:rFonts w:ascii="Times New Roman;Times;serif" w:hAnsi="Times New Roman;Times;serif"/>
          <w:sz w:val="20"/>
        </w:rPr>
        <w:t xml:space="preserve"> </w:t>
      </w:r>
      <w:r>
        <w:rPr>
          <w:rFonts w:ascii="Times New Roman;Times;serif" w:hAnsi="Times New Roman;Times;serif"/>
          <w:sz w:val="24"/>
        </w:rPr>
        <w:t>beneficially owned in terms of voting power of all of the Company’s issued Class B ordinary shares as of February 28, 2023. These Class B ordinary shares constitute 9.7% of the total issued and outstanding share capital of the Company and 51.7% of the aggregate voting power of the Company as of February 28, 2023. In addition, the directors and executive officers of the Company currently in office, including Mr. Will Wei Cheng and Ms. Jean Qing Liu, in aggregate beneficially owned 8.6% of the total issued and outstanding ordinary shares of the Company, and held in aggregate 54.0% of the total voting power of the Company as of February 28,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4"/>
        </w:rPr>
        <w:t>To the Company’s knowledge, based on an examination of the Company’s register of members and public filings made by its shareholders, excluding the beneficial ownership of the Company’s directors and executive officers, no shareholder other than Softbank Vision Fund Entity, Uber Entity</w:t>
      </w:r>
      <w:r>
        <w:rPr>
          <w:rFonts w:ascii="Times New Roman;Times;serif" w:hAnsi="Times New Roman;Times;serif"/>
          <w:sz w:val="20"/>
        </w:rPr>
        <w:t xml:space="preserve"> </w:t>
      </w:r>
      <w:r>
        <w:rPr>
          <w:rFonts w:ascii="Times New Roman;Times;serif" w:hAnsi="Times New Roman;Times;serif"/>
          <w:sz w:val="24"/>
        </w:rPr>
        <w:t>and Tencent Entities, beneficially owned 5% or more of the Company’s outstanding shares as of February 28, 2023.</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4"/>
              </w:rPr>
              <w:t>Softbank Vision Fund Entity</w:t>
            </w:r>
            <w:r>
              <w:rPr>
                <w:caps w:val="false"/>
                <w:smallCaps w:val="false"/>
              </w:rPr>
              <w:t xml:space="preserve"> </w:t>
            </w:r>
            <w:r>
              <w:rPr>
                <w:rFonts w:ascii="Times New Roman;Times;serif" w:hAnsi="Times New Roman;Times;serif"/>
                <w:b w:val="false"/>
                <w:i w:val="false"/>
                <w:caps w:val="false"/>
                <w:smallCaps w:val="false"/>
                <w:sz w:val="24"/>
              </w:rPr>
              <w:t xml:space="preserve">refers to SVF XKI Subco (Singapore) Pte. Ltd., which is a company incorporated in Singapore. To the Company’s knowledge, SVF XKI Subco (Singapore) Pte. Ltd. is not owned or controlled by a governmental entity of mainland China. As reported in a Schedule 13G jointly filed by SB Investment Advisers (UK) Limited, Softbank Vision Fund L.P., SVF Holdings (UK) LLP, SVF Holdings (Singapore) Pte. Ltd. and SVF XKI Subco (Singapore) Pte. Ltd. on February 14, 2022, Softbank Vision Fund L.P. is the managing member of SVF Holdings (UK) LLP, which is the sole owner of SVF Holdings (Singapore) Pte. Ltd., which in turn is the sole owner of SVF XKI Subco (Singapore) Pte. Ltd. SB Investment Advisers (UK) Limited has been appointed as </w:t>
            </w:r>
          </w:p>
        </w:tc>
      </w:tr>
    </w:tbl>
    <w:p>
      <w:pPr>
        <w:pStyle w:val="TextBody"/>
        <w:spacing w:before="0" w:after="0"/>
        <w:ind w:left="36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4"/>
        </w:rPr>
      </w:pPr>
      <w:r>
        <w:rPr>
          <w:rFonts w:ascii="Times New Roman;Times;serif" w:hAnsi="Times New Roman;Times;serif"/>
          <w:sz w:val="24"/>
        </w:rPr>
        <w:t>alternative investment fund manager of Softbank Vision Fund L.P. As reported in the Schedule 13G, SVF XKI Subco (Singapore) Pte. Ltd. beneficially owned 242,115,016 Class A ordinary shares of the Company as of December 31, 2021. As of February 28, 2023, SVF XKI Subco (Singapore) Pte. Ltd. beneficially owned 242,115,016 Class A ordinary shares of the Company, based on the Company’s register of members and as reported on the Schedule 13G filed on February 14, 2022, representing 19.9% of the Company’s total issued and outstanding shares and 10.7% of the Company’s total voting power.</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4"/>
              </w:rPr>
              <w:t>Uber Entity refers to Uber International B.V. To the Company’s knowledge, Uber International B.V. is not owned or controlled by a governmental entity of mainland China. As reported in a Schedule 13G filed by Uber Technologies, Inc. on February 14, 2022, Uber International B.V. is a wholly-owned, indirect subsidiary of Uber Technologies, Inc., which is a company listed on the New York Stock Exchange.</w:t>
            </w:r>
            <w:r>
              <w:rPr>
                <w:caps w:val="false"/>
                <w:smallCaps w:val="false"/>
              </w:rPr>
              <w:t xml:space="preserve"> </w:t>
            </w:r>
            <w:r>
              <w:rPr>
                <w:rFonts w:ascii="Times New Roman;Times;serif" w:hAnsi="Times New Roman;Times;serif"/>
                <w:b w:val="false"/>
                <w:i w:val="false"/>
                <w:caps w:val="false"/>
                <w:smallCaps w:val="false"/>
                <w:sz w:val="24"/>
              </w:rPr>
              <w:t>As reported in the Schedule 13G, Uber Technologies, Inc.</w:t>
            </w:r>
            <w:r>
              <w:rPr>
                <w:caps w:val="false"/>
                <w:smallCaps w:val="false"/>
              </w:rPr>
              <w:t xml:space="preserve"> </w:t>
            </w:r>
            <w:r>
              <w:rPr>
                <w:rFonts w:ascii="Times New Roman;Times;serif" w:hAnsi="Times New Roman;Times;serif"/>
                <w:b w:val="false"/>
                <w:i w:val="false"/>
                <w:caps w:val="false"/>
                <w:smallCaps w:val="false"/>
                <w:sz w:val="24"/>
              </w:rPr>
              <w:t>beneficially owned 143,911,749 Class A ordinary shares of the Company as of December 31, 2021. As of February 28, 2023, Uber Technologies, Inc. beneficially owned 143,911,749 Class A ordinary shares of the Company, based on the Company’s register of members and as reported on the Schedule 13G filed on February 14, 2022, representing 11.8% of the Company’s total issued and outstanding shares and 6.3% of the Company’s total voting power.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4"/>
              </w:rPr>
              <w:t>Tencent Entities refer to THL A11 Limited, THL E Limited and Tencent Growthfund Limited.</w:t>
            </w:r>
            <w:r>
              <w:rPr>
                <w:caps w:val="false"/>
                <w:smallCaps w:val="false"/>
              </w:rPr>
              <w:t xml:space="preserve"> </w:t>
            </w:r>
            <w:r>
              <w:rPr>
                <w:rFonts w:ascii="Times New Roman;Times;serif" w:hAnsi="Times New Roman;Times;serif"/>
                <w:b w:val="false"/>
                <w:i w:val="false"/>
                <w:caps w:val="false"/>
                <w:smallCaps w:val="false"/>
                <w:sz w:val="24"/>
              </w:rPr>
              <w:t>To the Company’s knowledge, THL A11 Limited, THL E Limited and Tencent Growthfund Limited are</w:t>
            </w:r>
            <w:r>
              <w:rPr>
                <w:caps w:val="false"/>
                <w:smallCaps w:val="false"/>
              </w:rPr>
              <w:t xml:space="preserve"> </w:t>
            </w:r>
            <w:r>
              <w:rPr>
                <w:rFonts w:ascii="Times New Roman;Times;serif" w:hAnsi="Times New Roman;Times;serif"/>
                <w:b w:val="false"/>
                <w:i w:val="false"/>
                <w:caps w:val="false"/>
                <w:smallCaps w:val="false"/>
                <w:sz w:val="24"/>
              </w:rPr>
              <w:t>not owned or controlled by a governmental entity of mainland China. As reported in a Schedule 13G/A jointly filed by Tencent Holdings Limited and THL A11 Limited on February 10, 2023, all of THL A11 Limited, THL E Limited and Tencent Growthfund Limited are controlled by Tencent Holdings Limited, which is a company listed on the Hong Kong Stock Exchange, and Tencent Holdings Limited may be deemed to have beneficial ownership over 78,986,858 Class A ordinary shares of the Company as of December 31, 2022. Based on the total outstanding shares of the Company as of February 28, 2023 and assuming that the Tencent Entities’ shareholding had not changed since December 31, 2022, the Tencent Entities beneficially owned 6.5% of the Company’s total issued and outstanding shares and 3.5% of the Company’s total voting power</w:t>
            </w:r>
            <w:r>
              <w:rPr>
                <w:caps w:val="false"/>
                <w:smallCaps w:val="false"/>
              </w:rPr>
              <w:t xml:space="preserve"> </w:t>
            </w:r>
            <w:r>
              <w:rPr>
                <w:rFonts w:ascii="Times New Roman;Times;serif" w:hAnsi="Times New Roman;Times;serif"/>
                <w:b w:val="false"/>
                <w:i w:val="false"/>
                <w:caps w:val="false"/>
                <w:smallCaps w:val="false"/>
                <w:sz w:val="24"/>
              </w:rPr>
              <w:t>as of February 28, 2023.</w:t>
            </w:r>
          </w:p>
        </w:tc>
      </w:tr>
    </w:tbl>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Please refer to “Item 6.E. Directors, Senior Management and Employees—Share Ownership” of the Company’s annual report on Form 20-F for the year ended December 31, 2022, filed with the SEC on April 28, 2023, for more details.</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In addition, the Company is not aware of any governmental entity in mainland China that is in possession of the power, direct or indirect, to direct or cause the direction of the management and policies of the Company, whether through the ownership of voting securities, by contract, or otherwise.</w:t>
      </w:r>
    </w:p>
    <w:p>
      <w:pPr>
        <w:pStyle w:val="TextBody"/>
        <w:spacing w:before="0" w:after="0"/>
        <w:ind w:left="0" w:right="0" w:hanging="0"/>
        <w:rPr/>
      </w:pPr>
      <w:r>
        <w:rPr/>
        <w:t>​</w:t>
      </w:r>
    </w:p>
    <w:tbl>
      <w:tblPr>
        <w:tblW w:w="7101" w:type="dxa"/>
        <w:jc w:val="center"/>
        <w:tblInd w:w="0" w:type="dxa"/>
        <w:tblCellMar>
          <w:top w:w="0" w:type="dxa"/>
          <w:left w:w="0" w:type="dxa"/>
          <w:bottom w:w="0" w:type="dxa"/>
          <w:right w:w="0" w:type="dxa"/>
        </w:tblCellMar>
      </w:tblPr>
      <w:tblGrid>
        <w:gridCol w:w="124"/>
        <w:gridCol w:w="736"/>
        <w:gridCol w:w="6241"/>
      </w:tblGrid>
      <w:tr>
        <w:trPr/>
        <w:tc>
          <w:tcPr>
            <w:tcW w:w="124" w:type="dxa"/>
            <w:tcBorders/>
            <w:shd w:fill="auto" w:val="clear"/>
            <w:vAlign w:val="center"/>
          </w:tcPr>
          <w:p>
            <w:pPr>
              <w:pStyle w:val="TableContents"/>
              <w:spacing w:before="0" w:after="0"/>
              <w:ind w:left="0" w:right="0" w:hanging="0"/>
              <w:rPr/>
            </w:pPr>
            <w:r>
              <w:rPr/>
              <w:t>​</w:t>
            </w:r>
          </w:p>
        </w:tc>
        <w:tc>
          <w:tcPr>
            <w:tcW w:w="6977"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DiDi Global Inc.</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624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62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Will Wei Cheng</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62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Will Wei Cheng</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62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Chairman of the Board of Directors and Chief Executive Officer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764757/000104746921001218/a2243291zex-3_2.htm" TargetMode="External"/><Relationship Id="rId10" Type="http://schemas.openxmlformats.org/officeDocument/2006/relationships/hyperlink" Target="https://www.sec.gov/Archives/edgar/data/1764757/000110465922005748/tm222268d1_ex4-3.htm" TargetMode="External"/><Relationship Id="rId11" Type="http://schemas.openxmlformats.org/officeDocument/2006/relationships/hyperlink" Target="https://www.sec.gov/Archives/edgar/data/1764757/000104746921001218/a2243291zex-4_2.htm" TargetMode="External"/><Relationship Id="rId12" Type="http://schemas.openxmlformats.org/officeDocument/2006/relationships/hyperlink" Target="https://www.sec.gov/Archives/edgar/data/1764757/000110465922005748/tm222268d1_ex4-3.htm" TargetMode="External"/><Relationship Id="rId13" Type="http://schemas.openxmlformats.org/officeDocument/2006/relationships/hyperlink" Target="https://www.sec.gov/Archives/edgar/data/1764757/000104746921001194/a2243272zex-4_4.htm" TargetMode="External"/><Relationship Id="rId14" Type="http://schemas.openxmlformats.org/officeDocument/2006/relationships/hyperlink" Target="https://www.sec.gov/Archives/edgar/data/1764757/000104746921001218/a2243291zex-4_5.htm" TargetMode="External"/><Relationship Id="rId15" Type="http://schemas.openxmlformats.org/officeDocument/2006/relationships/hyperlink" Target="https://www.sec.gov/Archives/edgar/data/1764757/000104746921001194/a2243272zex-10_1.htm" TargetMode="External"/><Relationship Id="rId16" Type="http://schemas.openxmlformats.org/officeDocument/2006/relationships/hyperlink" Target="https://www.sec.gov/Archives/edgar/data/1764757/000104746921001194/a2243272zex-10_2.htm" TargetMode="External"/><Relationship Id="rId17" Type="http://schemas.openxmlformats.org/officeDocument/2006/relationships/hyperlink" Target="https://www.sec.gov/Archives/edgar/data/1764757/000104746921001194/a2243272zex-10_3.htm" TargetMode="External"/><Relationship Id="rId18" Type="http://schemas.openxmlformats.org/officeDocument/2006/relationships/hyperlink" Target="https://www.sec.gov/Archives/edgar/data/1764757/000104746921001194/a2243272zex-10_4.htm" TargetMode="External"/><Relationship Id="rId19" Type="http://schemas.openxmlformats.org/officeDocument/2006/relationships/hyperlink" Target="https://www.sec.gov/Archives/edgar/data/1764757/000104746921001194/a2243272zex-10_5.htm" TargetMode="External"/><Relationship Id="rId20" Type="http://schemas.openxmlformats.org/officeDocument/2006/relationships/hyperlink" Target="https://www.sec.gov/Archives/edgar/data/1764757/000104746921001194/a2243272zex-10_6.htm" TargetMode="External"/><Relationship Id="rId21" Type="http://schemas.openxmlformats.org/officeDocument/2006/relationships/hyperlink" Target="https://www.sec.gov/Archives/edgar/data/1764757/000104746921001194/a2243272zex-10_7.htm" TargetMode="External"/><Relationship Id="rId22" Type="http://schemas.openxmlformats.org/officeDocument/2006/relationships/hyperlink" Target="https://www.sec.gov/Archives/edgar/data/1764757/000104746921001194/a2243272zex-10_8.htm" TargetMode="External"/><Relationship Id="rId23" Type="http://schemas.openxmlformats.org/officeDocument/2006/relationships/hyperlink" Target="https://www.sec.gov/Archives/edgar/data/1764757/000104746921001218/a2243291zex-10_12.htm" TargetMode="External"/><Relationship Id="rId24" Type="http://schemas.openxmlformats.org/officeDocument/2006/relationships/hyperlink" Target="https://www.sec.gov/Archives/edgar/data/1764757/000104746921001194/a2243272zex-99_1.htm" TargetMode="External"/><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159544</Words>
  <CharactersWithSpaces>1043622</CharactersWithSpaces>
  <Paragraphs>16033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