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DiDi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of $0.00002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 Wei Cheng</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CHINA</w:t>
      </w:r>
    </w:p>
    <w:p>
      <w:pPr>
        <w:sectPr>
          <w:pgSz w:w="11900" w:h="16838" w:orient="portrait"/>
          <w:cols w:equalWidth="0" w:num="1">
            <w:col w:w="10099"/>
          </w:cols>
          <w:pgMar w:left="360" w:top="866" w:right="1440" w:bottom="0" w:gutter="0" w:footer="0" w:header="0"/>
        </w:sectPr>
      </w:pPr>
    </w:p>
    <w:bookmarkStart w:id="1" w:name="page2"/>
    <w:bookmarkEnd w:id="1"/>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80" w:right="81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97,690,689.00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77,421,441.00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77,421,441.00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80"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Notes: (1) The amount set out in row (5) represents (i) 1,250,000 Class A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underlying options exercisable within 60 days after March 20, 2026, (ii) 76,171,441 Class B ordinary shares held by Xiaocheng Investments Limited as of March 20, 2026 (beneficially owned by Will Wei Cheng, or Mr. Cheng, through a trust, of which Mr. Cheng is the settlor and Mr. Cheng and his family members are the beneficiaries) that Mr. Cheng has sole voting power over, and (iii) 20,269,248 Class A ordinary shares held by certain existing shareholders who have granted voting proxies to Mr. Cheng as of March 20, 2026. (2) The amount set out in row (7) represents (i) 1,250,000 Class A ordinary shares underlying options exercisable within 60 days after March 20, 2026, and (ii) 76,171,441 Class B ordinary shares held by Xiaocheng Investments Limited as of March 20, 2026. (3) The amount set out in row (9) represents (i) 1,250,000 Class A ordinary shares underlying options exercisable within 60 days after March 20, 2026, and (ii) 76,171,441 Class B ordinary shares held by Xiaocheng Investments Limited as of March 20, 2026. The number of shares here represents the shares beneficially owned by Mr. Cheng in terms of economic interest, which is not the same as the shares over which Mr. Cheng has voting power as illustrated in Note (1) above. (4) The percentage of class of securities set out in row (11) is calculated by dividing the ordinary shares beneficially owned by the Reporting Person in terms of economic interests by the total number of ordinary shares outstanding as of March 20, 2026. (5) The amount set out in row (5) represents 43.2% of the total outstanding voting power. The percentage of voting power is calculated by dividing the voting power of the ordinary shares beneficially owned by the Reporting Person by the voting power of all of the Issuer's holders of Class A ordinary shares and Class B ordinary shares as a single class as of March 20, 2026. Each Class A ordinary share is entitled to one vote per share and each Class B ordinary share is entitled to ten votes per share on all matters submitted to the shareholders for a vote.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Xiaocheng Investments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80" w:orient="portrait"/>
          <w:cols w:equalWidth="0" w:num="1">
            <w:col w:w="11200"/>
          </w:cols>
          <w:pgMar w:left="320" w:top="111" w:right="379" w:bottom="0" w:gutter="0" w:footer="0" w:header="0"/>
          <w:type w:val="continuous"/>
        </w:sectPr>
      </w:pPr>
    </w:p>
    <w:bookmarkStart w:id="2" w:name="page3"/>
    <w:bookmarkEnd w:id="2"/>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76,171,441.00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76,171,441.00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76,171,441.00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of class of securities set out in row (11) is calculated by dividing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ordinary shares beneficially owned by the Reporting Person in terms of economic interests by the total number of ordinary shares outstanding as of March 20, 2026. The amount set out in row (5) represents 42.0% of the total outstanding voting power. The percentage of voting power is calculated by dividing the voting power of the ordinary shares beneficially owned by the Reporting Person by the voting power of all of the Issuer's holders of Class A ordinary shares and Class B ordinary shares as a single class as of March 20, 2026. Each Class A ordinary share is entitled to one vote per share and each Class B ordinary share is entitled to ten votes per share on all matters submitted to the shareholders for a vote.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908" w:orient="portrait"/>
          <w:cols w:equalWidth="0" w:num="1">
            <w:col w:w="11200"/>
          </w:cols>
          <w:pgMar w:left="320" w:top="111" w:right="3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DiDi Global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DiDi Xinchenghai Building 1, Yard 6, North Ring Road, Tangjialing, Haidian Beijing, China, 100193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 Wei Cheng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DiDi Xinchenghai, Building 1, Yard 6, North Ring Road, Tangjialing, Haidian District, Beijing, People's Republic of China</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People's Republic of China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of $0.00002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6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8" w:orient="portrait"/>
          <w:cols w:equalWidth="0" w:num="2">
            <w:col w:w="660" w:space="300"/>
            <w:col w:w="10240"/>
          </w:cols>
          <w:pgMar w:left="320" w:top="111" w:right="379" w:bottom="0" w:gutter="0" w:footer="0" w:header="0"/>
          <w:type w:val="continuous"/>
        </w:sectPr>
      </w:pPr>
    </w:p>
    <w:bookmarkStart w:id="3" w:name="page4"/>
    <w:bookmarkEnd w:id="3"/>
    <w:p>
      <w:pPr>
        <w:spacing w:after="0" w:line="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77,421,441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97,690,689</w:t>
      </w:r>
    </w:p>
    <w:p>
      <w:pPr>
        <w:spacing w:after="0" w:line="287"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77,421,441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9" w:lineRule="exact"/>
        <w:rPr>
          <w:sz w:val="20"/>
          <w:szCs w:val="20"/>
          <w:color w:val="auto"/>
        </w:rPr>
      </w:pPr>
    </w:p>
    <w:p>
      <w:pPr>
        <w:ind w:left="920" w:right="460" w:hanging="917"/>
        <w:spacing w:after="0" w:line="258" w:lineRule="auto"/>
        <w:tabs>
          <w:tab w:leader="none" w:pos="900" w:val="left"/>
        </w:tabs>
        <w:rPr>
          <w:sz w:val="20"/>
          <w:szCs w:val="20"/>
          <w:color w:val="auto"/>
        </w:rPr>
      </w:pPr>
      <w:r>
        <w:rPr>
          <w:rFonts w:ascii="Times New Roman" w:cs="Times New Roman" w:eastAsia="Times New Roman" w:hAnsi="Times New Roman"/>
          <w:sz w:val="43"/>
          <w:szCs w:val="43"/>
          <w:color w:val="auto"/>
          <w:vertAlign w:val="subscript"/>
        </w:rPr>
        <w:t>Item 7.</w:t>
      </w:r>
      <w:r>
        <w:rPr>
          <w:rFonts w:ascii="Times New Roman" w:cs="Times New Roman" w:eastAsia="Times New Roman" w:hAnsi="Times New Roman"/>
          <w:sz w:val="22"/>
          <w:szCs w:val="22"/>
          <w:color w:val="auto"/>
        </w:rPr>
        <w:tab/>
        <w:t>Identification and Classification of the Subsidiary Which Acquired the Security Being Reported on by the Parent Holding Company or Control Person.</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Will Wei Cheng</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 Wei Cheng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Will Wei Cheng</w:t>
      </w:r>
    </w:p>
    <w:p>
      <w:pPr>
        <w:sectPr>
          <w:pgSz w:w="11900" w:h="16847" w:orient="portrait"/>
          <w:cols w:equalWidth="0" w:num="1">
            <w:col w:w="11140"/>
          </w:cols>
          <w:pgMar w:left="360" w:top="126" w:right="399" w:bottom="0" w:gutter="0" w:footer="0" w:header="0"/>
        </w:sectPr>
      </w:pPr>
    </w:p>
    <w:bookmarkStart w:id="4" w:name="page5"/>
    <w:bookmarkEnd w:id="4"/>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Xiaocheng Investments Limited</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 Wei Cheng</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Will Wei Cheng / Director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Will Wei Cheng and Xiaocheng Investments Limited have entered into a Joint Filing Agreement, a copy of which was filed on May 2, 2025, as Exhibit 99.1 to a filing on Schedule 13G, which is hereby incorporated by reference. 99.1 Supplemental Information Regarding Item 4</w:t>
      </w:r>
    </w:p>
    <w:p>
      <w:pPr>
        <w:sectPr>
          <w:pgSz w:w="11900" w:h="16838" w:orient="portrait"/>
          <w:cols w:equalWidth="0" w:num="1">
            <w:col w:w="10940"/>
          </w:cols>
          <w:pgMar w:left="360" w:top="112" w:right="59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the ordinary shares, par value of $0.00002 per share, of the Issuer by each of the Reporting Persons is provided as of March 20, 2026. The table below is prepared based on 1,126,879,059 ordinary shares outstanding as of March 20, 2026, comprising 1,050,707,618 Class A ordinary shares (excluding 37,862,641 Class A ordinary shares repurchased by the Issuer and not yet cancelled or issued to the Issuer’s depositary bank for bulk issuance of ADSs reserved for future issuances upon the exercise or vesting of awards granted under the Issuer’s Share Incentive Plans) and 76,171,441 Class B ordinary shares.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Shared</w:t>
            </w: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power to</w:t>
            </w: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power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dispose or to</w:t>
            </w: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in terms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vote or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dispose or to</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direct the</w:t>
            </w: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economic</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 or direct</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r>
      <w:tr>
        <w:trPr>
          <w:trHeight w:val="238"/>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2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disposition of:</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Borders>
              <w:bottom w:val="single" w:sz="8" w:color="CCEEFF"/>
            </w:tcBorders>
          </w:tcPr>
          <w:p>
            <w:pPr>
              <w:spacing w:after="0"/>
              <w:rPr>
                <w:sz w:val="20"/>
                <w:szCs w:val="20"/>
                <w:color w:val="auto"/>
              </w:rPr>
            </w:pPr>
          </w:p>
        </w:tc>
      </w:tr>
      <w:tr>
        <w:trPr>
          <w:trHeight w:val="25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Wei Chen g</w:t>
            </w:r>
          </w:p>
        </w:tc>
        <w:tc>
          <w:tcPr>
            <w:tcW w:w="1220" w:type="dxa"/>
            <w:vAlign w:val="bottom"/>
            <w:shd w:val="clear" w:color="auto" w:fill="CCEEFF"/>
          </w:tcPr>
          <w:p>
            <w:pPr>
              <w:ind w:left="200"/>
              <w:spacing w:after="0" w:line="250" w:lineRule="exact"/>
              <w:rPr>
                <w:sz w:val="20"/>
                <w:szCs w:val="20"/>
                <w:color w:val="auto"/>
              </w:rPr>
            </w:pPr>
            <w:r>
              <w:rPr>
                <w:rFonts w:ascii="Times New Roman" w:cs="Times New Roman" w:eastAsia="Times New Roman" w:hAnsi="Times New Roman"/>
                <w:sz w:val="17"/>
                <w:szCs w:val="17"/>
                <w:color w:val="auto"/>
                <w:w w:val="97"/>
              </w:rPr>
              <w:t xml:space="preserve">77,421,441 </w:t>
            </w:r>
            <w:r>
              <w:rPr>
                <w:rFonts w:ascii="Times New Roman" w:cs="Times New Roman" w:eastAsia="Times New Roman" w:hAnsi="Times New Roman"/>
                <w:sz w:val="28"/>
                <w:szCs w:val="28"/>
                <w:color w:val="auto"/>
                <w:w w:val="97"/>
                <w:vertAlign w:val="superscript"/>
              </w:rPr>
              <w:t>(1)</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122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color w:val="auto"/>
              </w:rPr>
              <w:t xml:space="preserve">97,690,689 </w:t>
            </w:r>
            <w:r>
              <w:rPr>
                <w:rFonts w:ascii="Times New Roman" w:cs="Times New Roman" w:eastAsia="Times New Roman" w:hAnsi="Times New Roman"/>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0</w:t>
            </w:r>
          </w:p>
        </w:tc>
        <w:tc>
          <w:tcPr>
            <w:tcW w:w="122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color w:val="auto"/>
              </w:rPr>
              <w:t xml:space="preserve">77,421,441 </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39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Xiaocheng Investments Limited</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76,171,441 </w:t>
            </w:r>
            <w:r>
              <w:rPr>
                <w:rFonts w:ascii="Times New Roman" w:cs="Times New Roman" w:eastAsia="Times New Roman" w:hAnsi="Times New Roman"/>
                <w:sz w:val="29"/>
                <w:szCs w:val="29"/>
                <w:color w:val="auto"/>
                <w:vertAlign w:val="superscript"/>
              </w:rPr>
              <w:t>(3)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76,171,441 </w:t>
            </w:r>
            <w:r>
              <w:rPr>
                <w:rFonts w:ascii="Times New Roman" w:cs="Times New Roman" w:eastAsia="Times New Roman" w:hAnsi="Times New Roman"/>
                <w:sz w:val="29"/>
                <w:szCs w:val="29"/>
                <w:color w:val="auto"/>
                <w:vertAlign w:val="superscript"/>
              </w:rPr>
              <w:t>(3)</w:t>
            </w:r>
          </w:p>
        </w:tc>
        <w:tc>
          <w:tcPr>
            <w:tcW w:w="90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76,171,441 </w:t>
            </w:r>
            <w:r>
              <w:rPr>
                <w:rFonts w:ascii="Times New Roman" w:cs="Times New Roman" w:eastAsia="Times New Roman" w:hAnsi="Times New Roman"/>
                <w:sz w:val="29"/>
                <w:szCs w:val="29"/>
                <w:color w:val="auto"/>
                <w:vertAlign w:val="superscript"/>
              </w:rPr>
              <w:t>(3)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276" w:lineRule="exact"/>
        <w:rPr>
          <w:sz w:val="20"/>
          <w:szCs w:val="20"/>
          <w:color w:val="auto"/>
        </w:rPr>
      </w:pPr>
    </w:p>
    <w:p>
      <w:pPr>
        <w:ind w:left="340" w:right="220" w:hanging="332"/>
        <w:spacing w:after="0" w:line="282" w:lineRule="auto"/>
        <w:tabs>
          <w:tab w:leader="none" w:pos="2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is calculated by dividing the number of shares beneficially owned by the Reporting Person in terms of economic interests by the total number of ordinary shares outstanding as of March 20, 2026.</w:t>
      </w:r>
    </w:p>
    <w:p>
      <w:pPr>
        <w:spacing w:after="0" w:line="162" w:lineRule="exact"/>
        <w:rPr>
          <w:sz w:val="20"/>
          <w:szCs w:val="20"/>
          <w:color w:val="auto"/>
        </w:rPr>
      </w:pPr>
    </w:p>
    <w:p>
      <w:pPr>
        <w:ind w:left="340" w:right="60" w:hanging="332"/>
        <w:spacing w:after="0" w:line="261" w:lineRule="auto"/>
        <w:tabs>
          <w:tab w:leader="none" w:pos="2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voting power is calculated by dividing the voting power of the ordinary shares beneficially owned by the Reporting Person by the voting power of all of the Issuer’s holders of Class A ordinary shares and Class B ordinary shares as a single class as of March 20, 2026. Each Class A ordinary share is entitled to one vote per share and each Class B ordinary share is entitled to ten votes per share on all matters submitted to the shareholders for a vote.</w:t>
      </w:r>
    </w:p>
    <w:p>
      <w:pPr>
        <w:spacing w:after="0" w:line="179" w:lineRule="exact"/>
        <w:rPr>
          <w:rFonts w:ascii="Times New Roman" w:cs="Times New Roman" w:eastAsia="Times New Roman" w:hAnsi="Times New Roman"/>
          <w:sz w:val="18"/>
          <w:szCs w:val="18"/>
          <w:color w:val="auto"/>
        </w:rPr>
      </w:pPr>
    </w:p>
    <w:p>
      <w:pPr>
        <w:ind w:left="380" w:right="160" w:hanging="318"/>
        <w:spacing w:after="0" w:line="261" w:lineRule="auto"/>
        <w:tabs>
          <w:tab w:leader="none" w:pos="3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1,250,000 Class A ordinary shares underlying options exercisable within 60 days after March 20, 2026, and (ii) 76,171,441 Class B ordinary shares held by Xiaocheng Investments Limited over which Mr. Cheng has sole voting and dispositive power as of March 20, 2026. Xiaocheng Investments Limited is beneficially owned by Mr. Cheng through a trust, of which Mr. Cheng is the settlor and Mr. Cheng and his family members are the beneficiaries.</w:t>
      </w:r>
    </w:p>
    <w:p>
      <w:pPr>
        <w:spacing w:after="0" w:line="200" w:lineRule="exact"/>
        <w:rPr>
          <w:rFonts w:ascii="Times New Roman" w:cs="Times New Roman" w:eastAsia="Times New Roman" w:hAnsi="Times New Roman"/>
          <w:sz w:val="18"/>
          <w:szCs w:val="18"/>
          <w:color w:val="auto"/>
        </w:rPr>
      </w:pPr>
    </w:p>
    <w:p>
      <w:pPr>
        <w:spacing w:after="0" w:line="330" w:lineRule="exact"/>
        <w:rPr>
          <w:rFonts w:ascii="Times New Roman" w:cs="Times New Roman" w:eastAsia="Times New Roman" w:hAnsi="Times New Roman"/>
          <w:sz w:val="18"/>
          <w:szCs w:val="18"/>
          <w:color w:val="auto"/>
        </w:rPr>
      </w:pPr>
    </w:p>
    <w:p>
      <w:pPr>
        <w:ind w:left="380" w:right="160" w:hanging="318"/>
        <w:spacing w:after="0" w:line="266" w:lineRule="auto"/>
        <w:tabs>
          <w:tab w:leader="none" w:pos="3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1,250,000 Class A ordinary shares underlying options exercisable within 60 days after March 20, 2026, (ii) 76,171,441 Class B ordinary shares held by Xiaocheng Investments Limited over which Mr. Cheng has sole voting and dispositive power as of March 20, 2026, and (iii) 20,269,248 Class A ordinary shares held by certain existing shareholders who have granted voting proxies to Mr. Cheng as of March 20, 2026.</w:t>
      </w:r>
    </w:p>
    <w:p>
      <w:pPr>
        <w:spacing w:after="0" w:line="200" w:lineRule="exact"/>
        <w:rPr>
          <w:rFonts w:ascii="Times New Roman" w:cs="Times New Roman" w:eastAsia="Times New Roman" w:hAnsi="Times New Roman"/>
          <w:sz w:val="18"/>
          <w:szCs w:val="18"/>
          <w:color w:val="auto"/>
        </w:rPr>
      </w:pPr>
    </w:p>
    <w:p>
      <w:pPr>
        <w:spacing w:after="0" w:line="326" w:lineRule="exact"/>
        <w:rPr>
          <w:rFonts w:ascii="Times New Roman" w:cs="Times New Roman" w:eastAsia="Times New Roman" w:hAnsi="Times New Roman"/>
          <w:sz w:val="18"/>
          <w:szCs w:val="18"/>
          <w:color w:val="auto"/>
        </w:rPr>
      </w:pPr>
    </w:p>
    <w:p>
      <w:pPr>
        <w:ind w:left="380" w:right="120" w:hanging="318"/>
        <w:spacing w:after="0" w:line="282" w:lineRule="auto"/>
        <w:tabs>
          <w:tab w:leader="none" w:pos="3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76,171,441 Class B ordinary shares held by Xiaocheng Investments Limited over which Mr. Cheng has sole voting and dispositive power as of 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1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2026-05-01T15:03:02Z</dcterms:created>
  <dcterms:modified xsi:type="dcterms:W3CDTF">2026-05-01T15:03:02Z</dcterms:modified>
</cp:coreProperties>
</file>