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162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162040"/>
                    </a:xfrm>
                    <a:prstGeom prst="rect">
                      <a:avLst/>
                    </a:prstGeom>
                    <a:noFill/>
                  </pic:spPr>
                </pic:pic>
              </a:graphicData>
            </a:graphic>
          </wp:anchor>
        </w:drawing>
      </w:r>
    </w:p>
    <w:p>
      <w:pPr>
        <w:sectPr>
          <w:pgSz w:w="11900" w:h="16838" w:orient="portrait"/>
          <w:cols w:equalWidth="0" w:num="1">
            <w:col w:w="10940"/>
          </w:cols>
          <w:pgMar w:left="480" w:top="230" w:right="479" w:bottom="11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Zhuo Yue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21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DiDi Global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DIDIY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115"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97"/>
        <w:spacing w:after="0" w:line="275" w:lineRule="auto"/>
        <w:rPr>
          <w:sz w:val="20"/>
          <w:szCs w:val="20"/>
          <w:color w:val="auto"/>
        </w:rPr>
      </w:pPr>
      <w:r>
        <w:rPr>
          <w:rFonts w:ascii="Times New Roman" w:cs="Times New Roman" w:eastAsia="Times New Roman" w:hAnsi="Times New Roman"/>
          <w:sz w:val="20"/>
          <w:szCs w:val="20"/>
          <w:color w:val="0000FF"/>
        </w:rPr>
        <w:t>DIDI XINCHENGHAI, BLDG 1, YARD 6, NORTH</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RING RD, TANGJIALING,</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HAIDIAN DIST</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s>
        <w:rPr>
          <w:sz w:val="20"/>
          <w:szCs w:val="20"/>
          <w:color w:val="auto"/>
        </w:rPr>
      </w:pPr>
      <w:r>
        <w:rPr>
          <w:rFonts w:ascii="Times New Roman" w:cs="Times New Roman" w:eastAsia="Times New Roman" w:hAnsi="Times New Roman"/>
          <w:sz w:val="20"/>
          <w:szCs w:val="20"/>
          <w:color w:val="0000FF"/>
        </w:rPr>
        <w:t>BEIJING</w:t>
        <w:tab/>
        <w:t>F4</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38" w:orient="portrait"/>
          <w:cols w:equalWidth="0" w:num="3">
            <w:col w:w="4277" w:space="720"/>
            <w:col w:w="3003" w:space="269"/>
            <w:col w:w="2671"/>
          </w:cols>
          <w:pgMar w:left="480" w:top="230" w:right="479" w:bottom="115"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40" w:type="dxa"/>
            <w:vAlign w:val="bottom"/>
          </w:tcPr>
          <w:p>
            <w:pPr>
              <w:spacing w:after="0"/>
              <w:rPr>
                <w:sz w:val="14"/>
                <w:szCs w:val="14"/>
                <w:color w:val="auto"/>
              </w:rPr>
            </w:pPr>
          </w:p>
        </w:tc>
        <w:tc>
          <w:tcPr>
            <w:tcW w:w="88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8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04/01/2032</w:t>
            </w:r>
          </w:p>
        </w:tc>
        <w:tc>
          <w:tcPr>
            <w:tcW w:w="17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200,000</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10"/>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04/01/2033</w:t>
            </w:r>
          </w:p>
        </w:tc>
        <w:tc>
          <w:tcPr>
            <w:tcW w:w="17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500,000</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10"/>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04/01/2035</w:t>
            </w:r>
          </w:p>
        </w:tc>
        <w:tc>
          <w:tcPr>
            <w:tcW w:w="17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150,000</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10"/>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02/01/2036</w:t>
            </w:r>
          </w:p>
        </w:tc>
        <w:tc>
          <w:tcPr>
            <w:tcW w:w="1740" w:type="dxa"/>
            <w:vAlign w:val="bottom"/>
          </w:tcPr>
          <w:p>
            <w:pPr>
              <w:jc w:val="center"/>
              <w:ind w:left="10"/>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150,000</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40" w:type="dxa"/>
            <w:vAlign w:val="bottom"/>
            <w:vMerge w:val="restart"/>
          </w:tcPr>
          <w:p>
            <w:pPr>
              <w:jc w:val="center"/>
              <w:ind w:left="10"/>
              <w:spacing w:after="0"/>
              <w:rPr>
                <w:sz w:val="20"/>
                <w:szCs w:val="20"/>
                <w:color w:val="auto"/>
              </w:rPr>
            </w:pPr>
            <w:r>
              <w:rPr>
                <w:rFonts w:ascii="Times New Roman" w:cs="Times New Roman" w:eastAsia="Times New Roman" w:hAnsi="Times New Roman"/>
                <w:sz w:val="20"/>
                <w:szCs w:val="20"/>
                <w:color w:val="0000FF"/>
                <w:w w:val="95"/>
              </w:rPr>
              <w:t>shares</w:t>
            </w:r>
          </w:p>
        </w:tc>
        <w:tc>
          <w:tcPr>
            <w:tcW w:w="88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4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options granted to the reporting person pursuant to the issuer's share incentive plans, of which 150,000 options have vested as of the date of this Form 3, and the remaining 50,000 options will vest on April 1, 2026.</w:t>
      </w:r>
    </w:p>
    <w:p>
      <w:pPr>
        <w:spacing w:after="0" w:line="17" w:lineRule="exact"/>
        <w:rPr>
          <w:rFonts w:ascii="Times New Roman" w:cs="Times New Roman" w:eastAsia="Times New Roman" w:hAnsi="Times New Roman"/>
          <w:sz w:val="15"/>
          <w:szCs w:val="15"/>
          <w:color w:val="008000"/>
        </w:rPr>
      </w:pPr>
    </w:p>
    <w:p>
      <w:pPr>
        <w:ind w:left="40" w:right="4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options granted to the reporting person pursuant to the issuer's share incentive plans, of which 250,000 options have vested as of the date of this Form 3, and the remaining 250,000 options will vest in two equal annual installments, beginning on April 1, 2026.</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options granted to the reporting person pursuant to the issuer's share incentive plans, all of which will vest on April 1, 2029.</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options granted to the reporting person pursuant to the issuer's share incentive plans, all of which will vest on February 1, 2030.</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exercise price is $0.0001823.</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3"/>
              </w:rPr>
              <w:t>/s/ Yue Zhuo</w:t>
            </w:r>
          </w:p>
        </w:tc>
        <w:tc>
          <w:tcPr>
            <w:tcW w:w="11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1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09737" TargetMode="External"/><Relationship Id="rId11" Type="http://schemas.openxmlformats.org/officeDocument/2006/relationships/hyperlink" Target="http://www.sec.gov/cgi-bin/browse-edgar?action=getcompany&amp;CIK=00017647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2026-03-18T16:44:14Z</dcterms:created>
  <dcterms:modified xsi:type="dcterms:W3CDTF">2026-03-18T16:44:14Z</dcterms:modified>
</cp:coreProperties>
</file>