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to Be Included in Statements Filed Pursuant to § 240.13d-1 (b), (c) and (d) and Amendments Thereto</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Filed Pursuant to § 240.13d-2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DiDi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Shares, par value of $0.00002 per share</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G2758H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328"/>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40" w:type="dxa"/>
            <w:vAlign w:val="bottom"/>
            <w:tcBorders>
              <w:top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w:t>
            </w:r>
          </w:p>
        </w:tc>
        <w:tc>
          <w:tcPr>
            <w:tcW w:w="10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0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Will Wei Cheng</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tcPr>
          <w:p>
            <w:pPr>
              <w:spacing w:after="0"/>
              <w:rPr>
                <w:sz w:val="20"/>
                <w:szCs w:val="20"/>
                <w:color w:val="auto"/>
              </w:rPr>
            </w:pP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24"/>
        </w:trPr>
        <w:tc>
          <w:tcPr>
            <w:tcW w:w="94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10300" w:type="dxa"/>
            <w:vAlign w:val="bottom"/>
            <w:vMerge w:val="restart"/>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940" w:type="dxa"/>
            <w:vAlign w:val="bottom"/>
            <w:tcBorders>
              <w:right w:val="single" w:sz="8" w:color="auto"/>
            </w:tcBorders>
          </w:tcPr>
          <w:p>
            <w:pPr>
              <w:spacing w:after="0"/>
              <w:rPr>
                <w:sz w:val="4"/>
                <w:szCs w:val="4"/>
                <w:color w:val="auto"/>
              </w:rPr>
            </w:pPr>
          </w:p>
        </w:tc>
        <w:tc>
          <w:tcPr>
            <w:tcW w:w="10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4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w:t>
            </w: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0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w:t>
            </w: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0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7331710</wp:posOffset>
            </wp:positionH>
            <wp:positionV relativeFrom="page">
              <wp:posOffset>517525</wp:posOffset>
            </wp:positionV>
            <wp:extent cx="8890" cy="5692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921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8890" cy="5692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69214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877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8770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-7620</wp:posOffset>
            </wp:positionV>
            <wp:extent cx="8890" cy="1877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877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98"/>
        </w:trPr>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640"/>
              <w:spacing w:after="0" w:line="298" w:lineRule="exact"/>
              <w:rPr>
                <w:sz w:val="20"/>
                <w:szCs w:val="20"/>
                <w:color w:val="auto"/>
              </w:rPr>
            </w:pPr>
            <w:r>
              <w:rPr>
                <w:rFonts w:ascii="Times New Roman" w:cs="Times New Roman" w:eastAsia="Times New Roman" w:hAnsi="Times New Roman"/>
                <w:sz w:val="18"/>
                <w:szCs w:val="18"/>
                <w:color w:val="auto"/>
              </w:rPr>
              <w:t xml:space="preserve">99,931,539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37"/>
        </w:trPr>
        <w:tc>
          <w:tcPr>
            <w:tcW w:w="17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7"/>
        </w:trPr>
        <w:tc>
          <w:tcPr>
            <w:tcW w:w="20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8"/>
              </w:rPr>
              <w:t>SHARES</w:t>
            </w:r>
          </w:p>
        </w:tc>
        <w:tc>
          <w:tcPr>
            <w:tcW w:w="9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80" w:type="dxa"/>
            <w:vAlign w:val="bottom"/>
            <w:gridSpan w:val="3"/>
            <w:vMerge w:val="continue"/>
          </w:tcPr>
          <w:p>
            <w:pPr>
              <w:spacing w:after="0"/>
              <w:rPr>
                <w:sz w:val="12"/>
                <w:szCs w:val="12"/>
                <w:color w:val="auto"/>
              </w:rPr>
            </w:pPr>
          </w:p>
        </w:tc>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81"/>
        </w:trPr>
        <w:tc>
          <w:tcPr>
            <w:tcW w:w="20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BENEFICIALLY</w:t>
            </w: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80" w:type="dxa"/>
            <w:vAlign w:val="bottom"/>
            <w:gridSpan w:val="3"/>
            <w:vMerge w:val="continue"/>
          </w:tcPr>
          <w:p>
            <w:pPr>
              <w:spacing w:after="0"/>
              <w:rPr>
                <w:sz w:val="11"/>
                <w:szCs w:val="11"/>
                <w:color w:val="auto"/>
              </w:rPr>
            </w:pPr>
          </w:p>
        </w:tc>
        <w:tc>
          <w:tcPr>
            <w:tcW w:w="9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0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7"/>
              </w:rPr>
              <w:t>EACH</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80" w:type="dxa"/>
            <w:vAlign w:val="bottom"/>
            <w:gridSpan w:val="3"/>
            <w:vMerge w:val="continue"/>
          </w:tcPr>
          <w:p>
            <w:pPr>
              <w:spacing w:after="0"/>
              <w:rPr>
                <w:sz w:val="4"/>
                <w:szCs w:val="4"/>
                <w:color w:val="auto"/>
              </w:rPr>
            </w:pPr>
          </w:p>
        </w:tc>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180"/>
        </w:trPr>
        <w:tc>
          <w:tcPr>
            <w:tcW w:w="2080" w:type="dxa"/>
            <w:vAlign w:val="bottom"/>
            <w:gridSpan w:val="3"/>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PERSON WITH:</w:t>
            </w:r>
          </w:p>
        </w:tc>
        <w:tc>
          <w:tcPr>
            <w:tcW w:w="9160" w:type="dxa"/>
            <w:vAlign w:val="bottom"/>
          </w:tcPr>
          <w:p>
            <w:pPr>
              <w:ind w:left="640"/>
              <w:spacing w:after="0" w:line="270" w:lineRule="exact"/>
              <w:rPr>
                <w:sz w:val="20"/>
                <w:szCs w:val="20"/>
                <w:color w:val="auto"/>
              </w:rPr>
            </w:pPr>
            <w:r>
              <w:rPr>
                <w:rFonts w:ascii="Times New Roman" w:cs="Times New Roman" w:eastAsia="Times New Roman" w:hAnsi="Times New Roman"/>
                <w:sz w:val="18"/>
                <w:szCs w:val="18"/>
                <w:color w:val="auto"/>
              </w:rPr>
              <w:t xml:space="preserve">78,384,741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1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103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vMerge w:val="continue"/>
          </w:tcPr>
          <w:p>
            <w:pPr>
              <w:spacing w:after="0"/>
              <w:rPr>
                <w:sz w:val="19"/>
                <w:szCs w:val="1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6"/>
              </w:rPr>
              <w:t xml:space="preserve">78,384,741 </w:t>
            </w:r>
            <w:r>
              <w:rPr>
                <w:rFonts w:ascii="Times New Roman" w:cs="Times New Roman" w:eastAsia="Times New Roman" w:hAnsi="Times New Roman"/>
                <w:sz w:val="29"/>
                <w:szCs w:val="29"/>
                <w:color w:val="auto"/>
                <w:w w:val="96"/>
                <w:vertAlign w:val="superscript"/>
              </w:rPr>
              <w:t>(3)</w:t>
            </w: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gridSpan w:val="2"/>
            <w:vMerge w:val="continue"/>
          </w:tcPr>
          <w:p>
            <w:pPr>
              <w:spacing w:after="0"/>
              <w:rPr>
                <w:sz w:val="23"/>
                <w:szCs w:val="23"/>
                <w:color w:val="auto"/>
              </w:rPr>
            </w:pPr>
          </w:p>
        </w:tc>
        <w:tc>
          <w:tcPr>
            <w:tcW w:w="9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3"/>
        </w:trPr>
        <w:tc>
          <w:tcPr>
            <w:tcW w:w="940" w:type="dxa"/>
            <w:vAlign w:val="bottom"/>
            <w:tcBorders>
              <w:right w:val="single" w:sz="8" w:color="auto"/>
            </w:tcBorders>
            <w:vMerge w:val="continue"/>
          </w:tcPr>
          <w:p>
            <w:pPr>
              <w:spacing w:after="0"/>
              <w:rPr>
                <w:sz w:val="17"/>
                <w:szCs w:val="17"/>
                <w:color w:val="auto"/>
              </w:rPr>
            </w:pPr>
          </w:p>
        </w:tc>
        <w:tc>
          <w:tcPr>
            <w:tcW w:w="1140" w:type="dxa"/>
            <w:vAlign w:val="bottom"/>
            <w:gridSpan w:val="2"/>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vMerge w:val="continue"/>
          </w:tcPr>
          <w:p>
            <w:pPr>
              <w:spacing w:after="0"/>
              <w:rPr>
                <w:sz w:val="21"/>
                <w:szCs w:val="21"/>
                <w:color w:val="auto"/>
              </w:rPr>
            </w:pPr>
          </w:p>
        </w:tc>
        <w:tc>
          <w:tcPr>
            <w:tcW w:w="9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vMerge w:val="continue"/>
          </w:tcPr>
          <w:p>
            <w:pPr>
              <w:spacing w:after="0"/>
              <w:rPr>
                <w:sz w:val="19"/>
                <w:szCs w:val="19"/>
                <w:color w:val="auto"/>
              </w:rPr>
            </w:pPr>
          </w:p>
        </w:tc>
        <w:tc>
          <w:tcPr>
            <w:tcW w:w="10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Represents 38.6% of the total outstanding voting power. </w:t>
            </w:r>
            <w:r>
              <w:rPr>
                <w:rFonts w:ascii="Times New Roman" w:cs="Times New Roman" w:eastAsia="Times New Roman" w:hAnsi="Times New Roman"/>
                <w:sz w:val="29"/>
                <w:szCs w:val="29"/>
                <w:color w:val="auto"/>
                <w:vertAlign w:val="superscript"/>
              </w:rPr>
              <w:t>(5)</w:t>
            </w: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10300" w:type="dxa"/>
            <w:vAlign w:val="bottom"/>
            <w:tcBorders>
              <w:bottom w:val="single" w:sz="8" w:color="auto"/>
            </w:tcBorders>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right="20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78,384,741 Class B ordinary shares held by Xiaocheng Investments Limited (beneficially owned by Will Wei Cheng, or Mr. Cheng, through a trust, of which Mr. Cheng is the settlor and Mr. Cheng and his family members are the beneficiaries) that Mr. Cheng has sole voting power over, and (ii) 21,546,798 Class A ordinary shares held by certain existing shareholders who have granted voting proxies to Mr. Cheng as of April 8, 2024.</w:t>
      </w:r>
    </w:p>
    <w:p>
      <w:pPr>
        <w:spacing w:after="0" w:line="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78,384,741 Class B ordinary shares held by Xiaocheng Investments Limited.</w:t>
      </w:r>
    </w:p>
    <w:p>
      <w:pPr>
        <w:spacing w:after="0" w:line="144" w:lineRule="exact"/>
        <w:rPr>
          <w:rFonts w:ascii="Times New Roman" w:cs="Times New Roman" w:eastAsia="Times New Roman" w:hAnsi="Times New Roman"/>
          <w:sz w:val="18"/>
          <w:szCs w:val="18"/>
          <w:color w:val="auto"/>
        </w:rPr>
      </w:pPr>
    </w:p>
    <w:p>
      <w:pPr>
        <w:jc w:val="both"/>
        <w:ind w:left="340" w:right="160" w:hanging="332"/>
        <w:spacing w:after="0" w:line="276"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78,384,741 Class B ordinary shares held by Xiaocheng Investments Limited The number of shares here represents the shares beneficially owned by Mr. Cheng in terms of economic interest, which is not the same as the shares over which Mr. Cheng has voting power as illustrated in Note</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above.</w:t>
      </w:r>
    </w:p>
    <w:p>
      <w:pPr>
        <w:spacing w:after="0" w:line="125" w:lineRule="exact"/>
        <w:rPr>
          <w:rFonts w:ascii="Times New Roman" w:cs="Times New Roman" w:eastAsia="Times New Roman" w:hAnsi="Times New Roman"/>
          <w:sz w:val="17"/>
          <w:szCs w:val="17"/>
          <w:color w:val="auto"/>
        </w:rPr>
      </w:pPr>
    </w:p>
    <w:p>
      <w:pPr>
        <w:ind w:left="340" w:right="3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is calculated by dividing the ordinary shares beneficially owned by the Reporting Person in terms of economic interests by the total number of ordinary shares outstanding as of April 8, 2024.</w:t>
      </w:r>
    </w:p>
    <w:p>
      <w:pPr>
        <w:spacing w:after="0" w:line="80" w:lineRule="exact"/>
        <w:rPr>
          <w:rFonts w:ascii="Times New Roman" w:cs="Times New Roman" w:eastAsia="Times New Roman" w:hAnsi="Times New Roman"/>
          <w:sz w:val="18"/>
          <w:szCs w:val="18"/>
          <w:color w:val="auto"/>
        </w:rPr>
      </w:pPr>
    </w:p>
    <w:p>
      <w:pPr>
        <w:ind w:left="340" w:right="2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power is calculated by dividing the voting power of the ordinary shares beneficially owned by the Reporting Person by the voting power of all of the Issuer’s holders of Class A ordinary shares and Class B ordinary shares as a single class as of April 8, 2024. Each Class A ordinary share is entitled to one vote per share and each Class B ordinary share is entitled to ten votes per share on all matters submitted to the shareholders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40" w:type="dxa"/>
            <w:vAlign w:val="bottom"/>
            <w:tcBorders>
              <w:top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w:t>
            </w:r>
          </w:p>
        </w:tc>
        <w:tc>
          <w:tcPr>
            <w:tcW w:w="10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0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Jean Qing Liu</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tcPr>
          <w:p>
            <w:pPr>
              <w:spacing w:after="0"/>
              <w:rPr>
                <w:sz w:val="20"/>
                <w:szCs w:val="20"/>
                <w:color w:val="auto"/>
              </w:rPr>
            </w:pP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24"/>
        </w:trPr>
        <w:tc>
          <w:tcPr>
            <w:tcW w:w="94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10300" w:type="dxa"/>
            <w:vAlign w:val="bottom"/>
            <w:vMerge w:val="restart"/>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4"/>
        </w:trPr>
        <w:tc>
          <w:tcPr>
            <w:tcW w:w="940" w:type="dxa"/>
            <w:vAlign w:val="bottom"/>
            <w:tcBorders>
              <w:right w:val="single" w:sz="8" w:color="auto"/>
            </w:tcBorders>
          </w:tcPr>
          <w:p>
            <w:pPr>
              <w:spacing w:after="0"/>
              <w:rPr>
                <w:sz w:val="4"/>
                <w:szCs w:val="4"/>
                <w:color w:val="auto"/>
              </w:rPr>
            </w:pPr>
          </w:p>
        </w:tc>
        <w:tc>
          <w:tcPr>
            <w:tcW w:w="10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4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w:t>
            </w: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0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Borders>
              <w:bottom w:val="single" w:sz="8" w:color="auto"/>
              <w:right w:val="single" w:sz="8" w:color="auto"/>
            </w:tcBorders>
          </w:tcPr>
          <w:p>
            <w:pPr>
              <w:spacing w:after="0"/>
              <w:rPr>
                <w:sz w:val="21"/>
                <w:szCs w:val="21"/>
                <w:color w:val="auto"/>
              </w:rPr>
            </w:pPr>
          </w:p>
        </w:tc>
        <w:tc>
          <w:tcPr>
            <w:tcW w:w="10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w:t>
            </w:r>
          </w:p>
        </w:tc>
        <w:tc>
          <w:tcPr>
            <w:tcW w:w="10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0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Hong Kong, People’s Republic of China</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0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10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7331710</wp:posOffset>
            </wp:positionH>
            <wp:positionV relativeFrom="page">
              <wp:posOffset>517525</wp:posOffset>
            </wp:positionV>
            <wp:extent cx="8890" cy="5692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6921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8890" cy="5692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69214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wp:posOffset>
            </wp:positionV>
            <wp:extent cx="8255" cy="1877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8770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-7620</wp:posOffset>
            </wp:positionV>
            <wp:extent cx="8890" cy="1877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877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98"/>
        </w:trPr>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640"/>
              <w:spacing w:after="0" w:line="298" w:lineRule="exact"/>
              <w:rPr>
                <w:sz w:val="20"/>
                <w:szCs w:val="20"/>
                <w:color w:val="auto"/>
              </w:rPr>
            </w:pPr>
            <w:r>
              <w:rPr>
                <w:rFonts w:ascii="Times New Roman" w:cs="Times New Roman" w:eastAsia="Times New Roman" w:hAnsi="Times New Roman"/>
                <w:sz w:val="18"/>
                <w:szCs w:val="18"/>
                <w:color w:val="auto"/>
              </w:rPr>
              <w:t xml:space="preserve">19,172,128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37"/>
        </w:trPr>
        <w:tc>
          <w:tcPr>
            <w:tcW w:w="17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77"/>
        </w:trPr>
        <w:tc>
          <w:tcPr>
            <w:tcW w:w="20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8"/>
              </w:rPr>
              <w:t>SHARES</w:t>
            </w:r>
          </w:p>
        </w:tc>
        <w:tc>
          <w:tcPr>
            <w:tcW w:w="9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80" w:type="dxa"/>
            <w:vAlign w:val="bottom"/>
            <w:gridSpan w:val="3"/>
            <w:vMerge w:val="continue"/>
          </w:tcPr>
          <w:p>
            <w:pPr>
              <w:spacing w:after="0"/>
              <w:rPr>
                <w:sz w:val="12"/>
                <w:szCs w:val="12"/>
                <w:color w:val="auto"/>
              </w:rPr>
            </w:pPr>
          </w:p>
        </w:tc>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81"/>
        </w:trPr>
        <w:tc>
          <w:tcPr>
            <w:tcW w:w="20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BENEFICIALLY</w:t>
            </w: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80" w:type="dxa"/>
            <w:vAlign w:val="bottom"/>
            <w:gridSpan w:val="3"/>
            <w:vMerge w:val="continue"/>
          </w:tcPr>
          <w:p>
            <w:pPr>
              <w:spacing w:after="0"/>
              <w:rPr>
                <w:sz w:val="11"/>
                <w:szCs w:val="11"/>
                <w:color w:val="auto"/>
              </w:rPr>
            </w:pPr>
          </w:p>
        </w:tc>
        <w:tc>
          <w:tcPr>
            <w:tcW w:w="9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0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91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7"/>
              </w:rPr>
              <w:t>EACH</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80" w:type="dxa"/>
            <w:vAlign w:val="bottom"/>
            <w:gridSpan w:val="3"/>
            <w:vMerge w:val="continue"/>
          </w:tcPr>
          <w:p>
            <w:pPr>
              <w:spacing w:after="0"/>
              <w:rPr>
                <w:sz w:val="4"/>
                <w:szCs w:val="4"/>
                <w:color w:val="auto"/>
              </w:rPr>
            </w:pPr>
          </w:p>
        </w:tc>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180"/>
        </w:trPr>
        <w:tc>
          <w:tcPr>
            <w:tcW w:w="2080" w:type="dxa"/>
            <w:vAlign w:val="bottom"/>
            <w:gridSpan w:val="3"/>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w w:val="98"/>
              </w:rPr>
              <w:t>REPORTING</w:t>
            </w:r>
          </w:p>
        </w:tc>
        <w:tc>
          <w:tcPr>
            <w:tcW w:w="9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PERSON WITH:</w:t>
            </w:r>
          </w:p>
        </w:tc>
        <w:tc>
          <w:tcPr>
            <w:tcW w:w="9160" w:type="dxa"/>
            <w:vAlign w:val="bottom"/>
          </w:tcPr>
          <w:p>
            <w:pPr>
              <w:ind w:left="640"/>
              <w:spacing w:after="0" w:line="270" w:lineRule="exact"/>
              <w:rPr>
                <w:sz w:val="20"/>
                <w:szCs w:val="20"/>
                <w:color w:val="auto"/>
              </w:rPr>
            </w:pPr>
            <w:r>
              <w:rPr>
                <w:rFonts w:ascii="Times New Roman" w:cs="Times New Roman" w:eastAsia="Times New Roman" w:hAnsi="Times New Roman"/>
                <w:sz w:val="18"/>
                <w:szCs w:val="18"/>
                <w:color w:val="auto"/>
              </w:rPr>
              <w:t xml:space="preserve">19,172,128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1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20"/>
        </w:trPr>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103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vMerge w:val="continue"/>
          </w:tcPr>
          <w:p>
            <w:pPr>
              <w:spacing w:after="0"/>
              <w:rPr>
                <w:sz w:val="19"/>
                <w:szCs w:val="1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6"/>
              </w:rPr>
              <w:t xml:space="preserve">19,172,128 </w:t>
            </w:r>
            <w:r>
              <w:rPr>
                <w:rFonts w:ascii="Times New Roman" w:cs="Times New Roman" w:eastAsia="Times New Roman" w:hAnsi="Times New Roman"/>
                <w:sz w:val="29"/>
                <w:szCs w:val="29"/>
                <w:color w:val="auto"/>
                <w:w w:val="96"/>
                <w:vertAlign w:val="superscript"/>
              </w:rPr>
              <w:t>(1)</w:t>
            </w: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gridSpan w:val="2"/>
            <w:vMerge w:val="continue"/>
          </w:tcPr>
          <w:p>
            <w:pPr>
              <w:spacing w:after="0"/>
              <w:rPr>
                <w:sz w:val="23"/>
                <w:szCs w:val="23"/>
                <w:color w:val="auto"/>
              </w:rPr>
            </w:pPr>
          </w:p>
        </w:tc>
        <w:tc>
          <w:tcPr>
            <w:tcW w:w="9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03"/>
        </w:trPr>
        <w:tc>
          <w:tcPr>
            <w:tcW w:w="940" w:type="dxa"/>
            <w:vAlign w:val="bottom"/>
            <w:tcBorders>
              <w:right w:val="single" w:sz="8" w:color="auto"/>
            </w:tcBorders>
            <w:vMerge w:val="continue"/>
          </w:tcPr>
          <w:p>
            <w:pPr>
              <w:spacing w:after="0"/>
              <w:rPr>
                <w:sz w:val="17"/>
                <w:szCs w:val="17"/>
                <w:color w:val="auto"/>
              </w:rPr>
            </w:pPr>
          </w:p>
        </w:tc>
        <w:tc>
          <w:tcPr>
            <w:tcW w:w="1140" w:type="dxa"/>
            <w:vAlign w:val="bottom"/>
            <w:gridSpan w:val="2"/>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vMerge w:val="continue"/>
          </w:tcPr>
          <w:p>
            <w:pPr>
              <w:spacing w:after="0"/>
              <w:rPr>
                <w:sz w:val="21"/>
                <w:szCs w:val="21"/>
                <w:color w:val="auto"/>
              </w:rPr>
            </w:pPr>
          </w:p>
        </w:tc>
        <w:tc>
          <w:tcPr>
            <w:tcW w:w="9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vMerge w:val="continue"/>
          </w:tcPr>
          <w:p>
            <w:pPr>
              <w:spacing w:after="0"/>
              <w:rPr>
                <w:sz w:val="19"/>
                <w:szCs w:val="19"/>
                <w:color w:val="auto"/>
              </w:rPr>
            </w:pPr>
          </w:p>
        </w:tc>
        <w:tc>
          <w:tcPr>
            <w:tcW w:w="10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Represents 9.2% of the total outstanding voting power. </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10300" w:type="dxa"/>
            <w:vAlign w:val="bottom"/>
            <w:tcBorders>
              <w:bottom w:val="single" w:sz="8" w:color="auto"/>
            </w:tcBorders>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vMerge w:val="continue"/>
          </w:tcPr>
          <w:p>
            <w:pPr>
              <w:spacing w:after="0"/>
              <w:rPr>
                <w:sz w:val="18"/>
                <w:szCs w:val="18"/>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50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16,116,572 Class B ordinary shares held directly by Ms. Liu, and (ii) 3,055,556 Class B ordinary shares held by Investor Link Investments Limited (beneficially owned by Ms. Liu through a trust, of which Ms. Liu is the settlor and Ms. Liu and her family members are the beneficiaries).</w:t>
      </w:r>
    </w:p>
    <w:p>
      <w:pPr>
        <w:spacing w:after="0" w:line="17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is calculated by dividing the ordinary shares beneficially owned by the Reporting Person in terms of economic interests by the total number of ordinary shares outstanding as of April 8, 2024.</w:t>
      </w:r>
    </w:p>
    <w:p>
      <w:pPr>
        <w:spacing w:after="0" w:line="161" w:lineRule="exact"/>
        <w:rPr>
          <w:rFonts w:ascii="Times New Roman" w:cs="Times New Roman" w:eastAsia="Times New Roman" w:hAnsi="Times New Roman"/>
          <w:sz w:val="18"/>
          <w:szCs w:val="18"/>
          <w:color w:val="auto"/>
        </w:rPr>
      </w:pPr>
    </w:p>
    <w:p>
      <w:pPr>
        <w:ind w:left="340" w:right="2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power is calculated by dividing the voting power of the ordinary shares beneficially owned by the Reporting Person by the voting power of all of the Issuer’s holders of Class A ordinary shares and Class B ordinary shares as a single class as of April 8, 2024. Each Class A ordinary share is entitled to one vote per share and each Class B ordinary share is entitled to ten votes per share on all matters submitted to the shareholders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589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t>NAMES OF REPORTING PERSONS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Xiaocheng Investments Limited</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47" w:lineRule="exact"/>
        <w:rPr>
          <w:sz w:val="20"/>
          <w:szCs w:val="20"/>
          <w:color w:val="auto"/>
        </w:rPr>
      </w:pPr>
    </w:p>
    <w:p>
      <w:pPr>
        <w:ind w:left="1020" w:hanging="598"/>
        <w:spacing w:after="0" w:line="414" w:lineRule="exact"/>
        <w:tabs>
          <w:tab w:leader="none" w:pos="1020" w:val="left"/>
        </w:tabs>
        <w:numPr>
          <w:ilvl w:val="0"/>
          <w:numId w:val="5"/>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ind w:left="1020"/>
        <w:spacing w:after="0" w:line="207" w:lineRule="exact"/>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 USE ONLY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2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78,384,741</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Borders>
              <w:right w:val="single" w:sz="8" w:color="auto"/>
            </w:tcBorders>
            <w:vMerge w:val="continue"/>
          </w:tcPr>
          <w:p>
            <w:pPr>
              <w:spacing w:after="0"/>
              <w:rPr>
                <w:sz w:val="8"/>
                <w:szCs w:val="8"/>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7"/>
        </w:trPr>
        <w:tc>
          <w:tcPr>
            <w:tcW w:w="1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right w:val="single" w:sz="8" w:color="auto"/>
            </w:tcBorders>
          </w:tcPr>
          <w:p>
            <w:pPr>
              <w:spacing w:after="0"/>
              <w:rPr>
                <w:sz w:val="8"/>
                <w:szCs w:val="8"/>
                <w:color w:val="auto"/>
              </w:rPr>
            </w:pP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w:t>
            </w: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continue"/>
          </w:tcPr>
          <w:p>
            <w:pPr>
              <w:spacing w:after="0"/>
              <w:rPr>
                <w:sz w:val="14"/>
                <w:szCs w:val="14"/>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78,384,741</w:t>
            </w: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PERSON WITH:</w:t>
            </w:r>
          </w:p>
        </w:tc>
        <w:tc>
          <w:tcPr>
            <w:tcW w:w="900" w:type="dxa"/>
            <w:vAlign w:val="bottom"/>
            <w:tcBorders>
              <w:right w:val="single" w:sz="8" w:color="auto"/>
            </w:tcBorders>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78,384,741</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7" w:lineRule="exact"/>
        <w:rPr>
          <w:sz w:val="20"/>
          <w:szCs w:val="20"/>
          <w:color w:val="auto"/>
        </w:rPr>
      </w:pPr>
    </w:p>
    <w:p>
      <w:pPr>
        <w:ind w:left="102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1020" w:right="1820"/>
        <w:spacing w:after="0" w:line="289" w:lineRule="auto"/>
        <w:rPr>
          <w:sz w:val="20"/>
          <w:szCs w:val="20"/>
          <w:color w:val="auto"/>
        </w:rPr>
      </w:pPr>
      <w:r>
        <w:rPr>
          <w:rFonts w:ascii="Times New Roman" w:cs="Times New Roman" w:eastAsia="Times New Roman" w:hAnsi="Times New Roman"/>
          <w:sz w:val="18"/>
          <w:szCs w:val="18"/>
          <w:color w:val="auto"/>
        </w:rPr>
        <w:t>6.5%.* The voting power of the shares beneficially owned represent 37.5% of the total outstanding voting power. ** TYPE OF REPORTING PERSON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w:t>
      </w:r>
    </w:p>
    <w:p>
      <w:pPr>
        <w:spacing w:after="0" w:line="247" w:lineRule="exact"/>
        <w:rPr>
          <w:sz w:val="20"/>
          <w:szCs w:val="20"/>
          <w:color w:val="auto"/>
        </w:rPr>
      </w:pPr>
    </w:p>
    <w:p>
      <w:pPr>
        <w:ind w:right="480" w:firstLine="8"/>
        <w:spacing w:after="0" w:line="282"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is calculated by dividing the ordinary shares beneficially owned by the Reporting Person in terms of economic interests by the total number of ordinary shares outstanding as of April 8, 2024.</w:t>
      </w:r>
    </w:p>
    <w:p>
      <w:pPr>
        <w:spacing w:after="0" w:line="162" w:lineRule="exact"/>
        <w:rPr>
          <w:sz w:val="20"/>
          <w:szCs w:val="20"/>
          <w:color w:val="auto"/>
        </w:rPr>
      </w:pPr>
    </w:p>
    <w:p>
      <w:pPr>
        <w:ind w:right="40" w:firstLine="8"/>
        <w:spacing w:after="0" w:line="261"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power is calculated by dividing the voting power of the ordinary shares beneficially owned by the Reporting Person by the voting power of all of the Issuer’s holders of Class A ordinary shares and Class B ordinary shares as a single class as of April 8, 2024. Each Class A ordinary share is entitled to one vote per share and each Class B ordinary share is entitled to ten votes per share on all matters submitted to the shareholders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 w:name="page5"/>
    <w:bookmarkEnd w:id="4"/>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589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t>NAMES OF REPORTING PERSONS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Investor Link Investments Limited</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47" w:lineRule="exact"/>
        <w:rPr>
          <w:sz w:val="20"/>
          <w:szCs w:val="20"/>
          <w:color w:val="auto"/>
        </w:rPr>
      </w:pPr>
    </w:p>
    <w:p>
      <w:pPr>
        <w:ind w:left="1020" w:hanging="598"/>
        <w:spacing w:after="0" w:line="414" w:lineRule="exact"/>
        <w:tabs>
          <w:tab w:leader="none" w:pos="1020" w:val="left"/>
        </w:tabs>
        <w:numPr>
          <w:ilvl w:val="0"/>
          <w:numId w:val="8"/>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ind w:left="1020"/>
        <w:spacing w:after="0" w:line="207" w:lineRule="exact"/>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 USE ONLY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2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3,055,556</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Borders>
              <w:right w:val="single" w:sz="8" w:color="auto"/>
            </w:tcBorders>
            <w:vMerge w:val="continue"/>
          </w:tcPr>
          <w:p>
            <w:pPr>
              <w:spacing w:after="0"/>
              <w:rPr>
                <w:sz w:val="8"/>
                <w:szCs w:val="8"/>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7"/>
        </w:trPr>
        <w:tc>
          <w:tcPr>
            <w:tcW w:w="1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right w:val="single" w:sz="8" w:color="auto"/>
            </w:tcBorders>
          </w:tcPr>
          <w:p>
            <w:pPr>
              <w:spacing w:after="0"/>
              <w:rPr>
                <w:sz w:val="8"/>
                <w:szCs w:val="8"/>
                <w:color w:val="auto"/>
              </w:rPr>
            </w:pP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w:t>
            </w: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continue"/>
          </w:tcPr>
          <w:p>
            <w:pPr>
              <w:spacing w:after="0"/>
              <w:rPr>
                <w:sz w:val="14"/>
                <w:szCs w:val="14"/>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3,055,556</w:t>
            </w: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PERSON WITH:</w:t>
            </w:r>
          </w:p>
        </w:tc>
        <w:tc>
          <w:tcPr>
            <w:tcW w:w="900" w:type="dxa"/>
            <w:vAlign w:val="bottom"/>
            <w:tcBorders>
              <w:right w:val="single" w:sz="8" w:color="auto"/>
            </w:tcBorders>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3,055,556</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7" w:lineRule="exact"/>
        <w:rPr>
          <w:sz w:val="20"/>
          <w:szCs w:val="20"/>
          <w:color w:val="auto"/>
        </w:rPr>
      </w:pPr>
    </w:p>
    <w:p>
      <w:pPr>
        <w:ind w:left="102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1020" w:right="1920"/>
        <w:spacing w:after="0" w:line="289" w:lineRule="auto"/>
        <w:rPr>
          <w:sz w:val="20"/>
          <w:szCs w:val="20"/>
          <w:color w:val="auto"/>
        </w:rPr>
      </w:pPr>
      <w:r>
        <w:rPr>
          <w:rFonts w:ascii="Times New Roman" w:cs="Times New Roman" w:eastAsia="Times New Roman" w:hAnsi="Times New Roman"/>
          <w:sz w:val="18"/>
          <w:szCs w:val="18"/>
          <w:color w:val="auto"/>
        </w:rPr>
        <w:t>0.3%.* The voting power of the shares beneficially owned represent 1.5% of the total outstanding voting power. ** TYPE OF REPORTING PERSON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w:t>
      </w:r>
    </w:p>
    <w:p>
      <w:pPr>
        <w:spacing w:after="0" w:line="247" w:lineRule="exact"/>
        <w:rPr>
          <w:sz w:val="20"/>
          <w:szCs w:val="20"/>
          <w:color w:val="auto"/>
        </w:rPr>
      </w:pPr>
    </w:p>
    <w:p>
      <w:pPr>
        <w:ind w:right="480" w:firstLine="8"/>
        <w:spacing w:after="0" w:line="282"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is calculated by dividing the ordinary shares beneficially owned by the Reporting Person in terms of economic interests by the total number of ordinary shares outstanding as of April 8, 2024.</w:t>
      </w:r>
    </w:p>
    <w:p>
      <w:pPr>
        <w:spacing w:after="0" w:line="162" w:lineRule="exact"/>
        <w:rPr>
          <w:sz w:val="20"/>
          <w:szCs w:val="20"/>
          <w:color w:val="auto"/>
        </w:rPr>
      </w:pPr>
    </w:p>
    <w:p>
      <w:pPr>
        <w:ind w:right="40" w:firstLine="8"/>
        <w:spacing w:after="0" w:line="261"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power is calculated by dividing the voting power of the ordinary shares beneficially owned by the Reporting Person by the voting power of all of the Issuer’s holders of Class A ordinary shares and Class B ordinary shares as a single class as of April 8, 2024. Each Class A ordinary share is entitled to one vote per share and each Class B ordinary share is entitled to ten votes per share on all matters submitted to the shareholders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5" w:name="page6"/>
    <w:bookmarkEnd w:id="5"/>
    <w:p>
      <w:pPr>
        <w:ind w:left="1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589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t>NAMES OF REPORTING PERSONS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Steady Prominent Limited</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47" w:lineRule="exact"/>
        <w:rPr>
          <w:sz w:val="20"/>
          <w:szCs w:val="20"/>
          <w:color w:val="auto"/>
        </w:rPr>
      </w:pPr>
    </w:p>
    <w:p>
      <w:pPr>
        <w:ind w:left="1020" w:hanging="598"/>
        <w:spacing w:after="0" w:line="414" w:lineRule="exact"/>
        <w:tabs>
          <w:tab w:leader="none" w:pos="1020" w:val="left"/>
        </w:tabs>
        <w:numPr>
          <w:ilvl w:val="0"/>
          <w:numId w:val="11"/>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ind w:left="1020"/>
        <w:spacing w:after="0" w:line="207" w:lineRule="exact"/>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SEC USE ONLY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20" w:type="dxa"/>
            <w:vAlign w:val="bottom"/>
            <w:tcBorders>
              <w:top w:val="single" w:sz="8" w:color="auto"/>
              <w:right w:val="single" w:sz="8" w:color="auto"/>
            </w:tcBorders>
          </w:tcPr>
          <w:p>
            <w:pPr>
              <w:spacing w:after="0"/>
              <w:rPr>
                <w:sz w:val="22"/>
                <w:szCs w:val="22"/>
                <w:color w:val="auto"/>
              </w:rPr>
            </w:pPr>
          </w:p>
        </w:tc>
        <w:tc>
          <w:tcPr>
            <w:tcW w:w="900" w:type="dxa"/>
            <w:vAlign w:val="bottom"/>
            <w:tcBorders>
              <w:top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Borders>
              <w:righ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Borders>
              <w:right w:val="single" w:sz="8" w:color="auto"/>
            </w:tcBorders>
            <w:vMerge w:val="continue"/>
          </w:tcPr>
          <w:p>
            <w:pPr>
              <w:spacing w:after="0"/>
              <w:rPr>
                <w:sz w:val="8"/>
                <w:szCs w:val="8"/>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7"/>
        </w:trPr>
        <w:tc>
          <w:tcPr>
            <w:tcW w:w="172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right w:val="single" w:sz="8" w:color="auto"/>
            </w:tcBorders>
          </w:tcPr>
          <w:p>
            <w:pPr>
              <w:spacing w:after="0"/>
              <w:rPr>
                <w:sz w:val="8"/>
                <w:szCs w:val="8"/>
                <w:color w:val="auto"/>
              </w:rPr>
            </w:pP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w:t>
            </w: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tcBorders>
              <w:right w:val="single" w:sz="8" w:color="auto"/>
            </w:tcBorders>
            <w:vMerge w:val="continue"/>
          </w:tcPr>
          <w:p>
            <w:pPr>
              <w:spacing w:after="0"/>
              <w:rPr>
                <w:sz w:val="14"/>
                <w:szCs w:val="14"/>
                <w:color w:val="auto"/>
              </w:rPr>
            </w:pPr>
          </w:p>
        </w:tc>
        <w:tc>
          <w:tcPr>
            <w:tcW w:w="8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9"/>
        </w:trPr>
        <w:tc>
          <w:tcPr>
            <w:tcW w:w="17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PERSON WITH:</w:t>
            </w:r>
          </w:p>
        </w:tc>
        <w:tc>
          <w:tcPr>
            <w:tcW w:w="900" w:type="dxa"/>
            <w:vAlign w:val="bottom"/>
            <w:tcBorders>
              <w:right w:val="single" w:sz="8" w:color="auto"/>
            </w:tcBorders>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0</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7" w:lineRule="exact"/>
        <w:rPr>
          <w:sz w:val="20"/>
          <w:szCs w:val="20"/>
          <w:color w:val="auto"/>
        </w:rPr>
      </w:pPr>
    </w:p>
    <w:p>
      <w:pPr>
        <w:ind w:left="102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0%</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DiDi Global Inc. (the “Issuer”)</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u w:val="single" w:color="auto"/>
          <w:color w:val="auto"/>
        </w:rPr>
        <w:t>ADDRESS OF ISSUER’S PRINCIPAL EXECUTIVE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DiDi Xinchenghai</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Building 1, Yard 6, North Ring Road, Tangjialing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Haidian District, Beijing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7"/>
          <w:szCs w:val="17"/>
          <w:u w:val="single" w:color="auto"/>
          <w:color w:val="auto"/>
        </w:rPr>
        <w:t>NAME OF PERSON FILING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 Wei Cheng</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Jean Qing Liu</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Xiaocheng Investments Limited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 Link Investments Limited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Steady Prominent Limited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a “Reporting Person” and collectively, the “Reporting Persons”)</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u w:val="single" w:color="auto"/>
          <w:color w:val="auto"/>
        </w:rPr>
        <w:t>ADDRESS OF PRINCIPAL BUSINESS OFFICE, OR, IF NONE, RESIDENCE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Will Wei Cheng</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DiDi Global Inc.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DiDi Xinchenghai</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Building 1, Yard 6, North Ring Road, Tangjialing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Haidian District, Beijing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Jean Qing Liu</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DiDi Global Inc.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DiDi Xinchenghai</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Building 1, Yard 6, North Ring Road, Tangjialing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Haidian District, Beijing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Xiaocheng Investments Limited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Sertus Incorporations (BVI) Limited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Sertus Chambers, P.O. Box 905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Quastisky Building, Road Town, Tortola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Investor Link Investments Limited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Vistra Corporate Services Centre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Wickhams Cay II, Road Town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Tortola, VG1110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Steady Prominent Limited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Sertus Chambers, P.O. Box 905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Quastisky Building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Road Town, Tortola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 Wei Cheng – People’s Republic of China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Jean Qing Liu – Hong Kong, People’s Republic of China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Xiaocheng Investments Limited – British Virgin Islands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 Link Investments Limited – British Virgin Islands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Steady Prominent Limited – British Virgin Islands</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u w:val="single" w:color="auto"/>
          <w:color w:val="auto"/>
        </w:rPr>
        <w:t>TITLE OF CLASS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shares, par value of $0.00002 per share</w:t>
      </w:r>
    </w:p>
    <w:p>
      <w:pPr>
        <w:spacing w:after="0" w:line="225"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Each Class B ordinary share is convertible at the option of the holder into one Class A ordinary share, whereas Class A ordinary shares are not convertible into Class B ordinary shares under any circumstances.</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u w:val="single" w:color="auto"/>
          <w:color w:val="auto"/>
        </w:rPr>
        <w:t>CUSIP NO</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G2758H 105</w:t>
      </w:r>
    </w:p>
    <w:p>
      <w:pPr>
        <w:spacing w:after="0" w:line="225" w:lineRule="exact"/>
        <w:rPr>
          <w:sz w:val="20"/>
          <w:szCs w:val="20"/>
          <w:color w:val="auto"/>
        </w:rPr>
      </w:pPr>
    </w:p>
    <w:p>
      <w:pPr>
        <w:ind w:left="980" w:right="4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 240.13D-1(B), OR 240.13D-2(B) OR (C), CHECK WHETHER THE PERSONS FILING IS 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auto"/>
        </w:rPr>
        <w:t>OWNERSHIP</w:t>
      </w:r>
    </w:p>
    <w:p>
      <w:pPr>
        <w:spacing w:after="0" w:line="225"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par value of $0.00002 per share, of the Issuer by each of the Reporting Persons is provided as of April 8, 2024. The table below is prepared based on 1,210,550,748 ordinary shares (consisting of 1,112,993,879 Class A ordinary shares and 97,556,869 Class B ordinary shares) of the Issuer outstanding as of April 8,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54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rPr>
              <w:t>owned in</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15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dispose or to</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terms of</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54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vote or to</w:t>
            </w:r>
          </w:p>
        </w:tc>
        <w:tc>
          <w:tcPr>
            <w:tcW w:w="15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54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rPr>
              <w:t>vote or direct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5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0" w:type="dxa"/>
            <w:vAlign w:val="bottom"/>
          </w:tcPr>
          <w:p>
            <w:pPr>
              <w:spacing w:after="0"/>
              <w:rPr>
                <w:sz w:val="1"/>
                <w:szCs w:val="1"/>
                <w:color w:val="auto"/>
              </w:rPr>
            </w:pPr>
          </w:p>
        </w:tc>
      </w:tr>
      <w:tr>
        <w:trPr>
          <w:trHeight w:val="23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2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vote:</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Wei Cheng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78,384,741</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99,931,539</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(2)</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78,384,741</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Qing Liu</w:t>
            </w:r>
          </w:p>
        </w:tc>
        <w:tc>
          <w:tcPr>
            <w:tcW w:w="1320" w:type="dxa"/>
            <w:vAlign w:val="bottom"/>
            <w:gridSpan w:val="2"/>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19,172,128</w:t>
            </w:r>
            <w:r>
              <w:rPr>
                <w:rFonts w:ascii="Times New Roman" w:cs="Times New Roman" w:eastAsia="Times New Roman" w:hAnsi="Times New Roman"/>
                <w:sz w:val="29"/>
                <w:szCs w:val="29"/>
                <w:color w:val="auto"/>
                <w:vertAlign w:val="superscript"/>
              </w:rPr>
              <w:t>(3)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540" w:type="dxa"/>
            <w:vAlign w:val="bottom"/>
            <w:gridSpan w:val="2"/>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19,172,128</w:t>
            </w:r>
            <w:r>
              <w:rPr>
                <w:rFonts w:ascii="Times New Roman" w:cs="Times New Roman" w:eastAsia="Times New Roman" w:hAnsi="Times New Roman"/>
                <w:sz w:val="29"/>
                <w:szCs w:val="29"/>
                <w:color w:val="auto"/>
                <w:vertAlign w:val="superscript"/>
              </w:rPr>
              <w:t>(3)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19,172,128</w:t>
            </w:r>
            <w:r>
              <w:rPr>
                <w:rFonts w:ascii="Times New Roman" w:cs="Times New Roman" w:eastAsia="Times New Roman" w:hAnsi="Times New Roman"/>
                <w:sz w:val="29"/>
                <w:szCs w:val="29"/>
                <w:color w:val="auto"/>
                <w:vertAlign w:val="superscript"/>
              </w:rPr>
              <w:t>(3)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Xiaocheng Investments</w:t>
            </w:r>
          </w:p>
        </w:tc>
        <w:tc>
          <w:tcPr>
            <w:tcW w:w="1320" w:type="dxa"/>
            <w:vAlign w:val="bottom"/>
            <w:gridSpan w:val="2"/>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78,384,741</w:t>
            </w:r>
            <w:r>
              <w:rPr>
                <w:rFonts w:ascii="Times New Roman" w:cs="Times New Roman" w:eastAsia="Times New Roman" w:hAnsi="Times New Roman"/>
                <w:sz w:val="29"/>
                <w:szCs w:val="29"/>
                <w:color w:val="auto"/>
                <w:vertAlign w:val="superscript"/>
              </w:rPr>
              <w:t>(1)</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320" w:type="dxa"/>
            <w:vAlign w:val="bottom"/>
            <w:gridSpan w:val="2"/>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154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78,384,741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78,384,741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Investor Link Investments</w:t>
            </w:r>
          </w:p>
        </w:tc>
        <w:tc>
          <w:tcPr>
            <w:tcW w:w="1320" w:type="dxa"/>
            <w:vAlign w:val="bottom"/>
            <w:gridSpan w:val="2"/>
            <w:vMerge w:val="restart"/>
          </w:tcPr>
          <w:p>
            <w:pPr>
              <w:jc w:val="right"/>
              <w:ind w:right="85"/>
              <w:spacing w:after="0"/>
              <w:rPr>
                <w:sz w:val="20"/>
                <w:szCs w:val="20"/>
                <w:color w:val="auto"/>
              </w:rPr>
            </w:pPr>
            <w:r>
              <w:rPr>
                <w:rFonts w:ascii="Times New Roman" w:cs="Times New Roman" w:eastAsia="Times New Roman" w:hAnsi="Times New Roman"/>
                <w:sz w:val="18"/>
                <w:szCs w:val="18"/>
                <w:color w:val="auto"/>
              </w:rPr>
              <w:t>3,055,556</w:t>
            </w:r>
            <w:r>
              <w:rPr>
                <w:rFonts w:ascii="Times New Roman" w:cs="Times New Roman" w:eastAsia="Times New Roman" w:hAnsi="Times New Roman"/>
                <w:sz w:val="29"/>
                <w:szCs w:val="29"/>
                <w:color w:val="auto"/>
                <w:vertAlign w:val="superscript"/>
              </w:rPr>
              <w:t>(4)</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320" w:type="dxa"/>
            <w:vAlign w:val="bottom"/>
            <w:gridSpan w:val="2"/>
            <w:vMerge w:val="continue"/>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3,055,556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3,055,556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Steady Prominent Limited</w:t>
            </w:r>
          </w:p>
        </w:tc>
        <w:tc>
          <w:tcPr>
            <w:tcW w:w="13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is calculated by dividing the number of shares beneficially owned by the Reporting Person in terms of economic interests by the total number of ordinary shares outstanding as of April 8, 2024.</w:t>
      </w:r>
    </w:p>
    <w:p>
      <w:pPr>
        <w:spacing w:after="0" w:line="162" w:lineRule="exact"/>
        <w:rPr>
          <w:sz w:val="20"/>
          <w:szCs w:val="20"/>
          <w:color w:val="auto"/>
        </w:rPr>
      </w:pPr>
    </w:p>
    <w:p>
      <w:pPr>
        <w:ind w:left="340" w:right="2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power is calculated by dividing the voting power of the ordinary shares beneficially owned by the Reporting Person by the voting power of all of the Issuer’s holders of Class A ordinary shares and Class B ordinary shares as a single class as of April 8, 2024. Each Class A ordinary share is entitled to one vote per share and each Class B ordinary share is entitled to ten votes per share on all matters submitted to the shareholders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40" w:right="1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78,384,741 Class B ordinary shares held by Xiaocheng Investments Limited over which Mr. Cheng has sole voting and dispositive power. Xiaocheng Investments Limited is beneficially owned by Mr. Cheng through a trust, of which Mr. Cheng is the settlor and Mr. Cheng and his family members are the beneficiaries.</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78,384,741 Class B ordinary shares held by Xiaocheng Investments Limited over which Mr. Cheng has sole voting and dispositive power, and (ii) 21,546,798 Class A ordinary shares held by certain existing shareholders who have granted voting proxies to Mr. Cheng as of April 8, 2024.</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16,116,572 Class B ordinary shares held directly by Ms. Liu, and (ii) 3,055,556 Class B ordinary shares held by Investor Link Investments Limited, in each case over which Ms. Liu has sole voting and dispositive power. Investor Link Investments Limited is beneficially owned by Ms. Liu through a trust, of which Ms. Liu is the settlor and Ms. Liu and her family members are the beneficiaries.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3,055,556 Class B ordinary shares held by Investor Link Investments Limited over which Ms. Liu has sole voting and dispositive power.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w:t>
      </w:r>
      <w:r>
        <w:rPr>
          <w:rFonts w:ascii="Times New Roman" w:cs="Times New Roman" w:eastAsia="Times New Roman" w:hAnsi="Times New Roman"/>
          <w:sz w:val="17"/>
          <w:szCs w:val="17"/>
          <w:u w:val="single" w:color="auto"/>
          <w:color w:val="auto"/>
        </w:rPr>
        <w:t>OWNERSHIP OF FIVE PERCENT OR LESS OF A CLASS</w:t>
      </w:r>
    </w:p>
    <w:p>
      <w:pPr>
        <w:spacing w:after="0" w:line="225" w:lineRule="exact"/>
        <w:rPr>
          <w:sz w:val="20"/>
          <w:szCs w:val="20"/>
          <w:color w:val="auto"/>
        </w:rPr>
      </w:pPr>
    </w:p>
    <w:p>
      <w:pPr>
        <w:ind w:left="340"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8.</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p>
    <w:p>
      <w:pPr>
        <w:spacing w:after="0" w:line="225" w:lineRule="exact"/>
        <w:rPr>
          <w:sz w:val="20"/>
          <w:szCs w:val="20"/>
          <w:color w:val="auto"/>
        </w:rPr>
      </w:pPr>
    </w:p>
    <w:p>
      <w:pPr>
        <w:ind w:left="340" w:right="160"/>
        <w:spacing w:after="0" w:line="256" w:lineRule="auto"/>
        <w:rPr>
          <w:sz w:val="20"/>
          <w:szCs w:val="20"/>
          <w:color w:val="auto"/>
        </w:rPr>
      </w:pPr>
      <w:r>
        <w:rPr>
          <w:rFonts w:ascii="Times New Roman" w:cs="Times New Roman" w:eastAsia="Times New Roman" w:hAnsi="Times New Roman"/>
          <w:sz w:val="18"/>
          <w:szCs w:val="18"/>
          <w:color w:val="auto"/>
        </w:rPr>
        <w:t>The Reporting Persons previously filed a joint Schedule 13G, as subsequently amended by Amendment No. 1 and Amendment No. 2 thereto, due to the fact that they may have been deemed to be a “group” for purposes of Sections 13(d) and (g) of the Act, as Mr. Cheng and Ms. Liu had agreed to certain voting arrangements in connection with certain shares held by Steady Prominent Limited and Xiaocheng Investments Limited. These arrangements ceased to be effective on April 8, 2024. Therefore, Mr. Cheng, Ms. Liu and Steady Prominent Limited will no longer make joint filings for purposes of Sections 13(d) and (g) of the Act. In addition, this filing constitutes the final amendment filing for each of Ms. Liu and Steady Prominent Limited.</w:t>
      </w:r>
    </w:p>
    <w:p>
      <w:pPr>
        <w:spacing w:after="0" w:line="187"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The filing of this statement should not be construed to be an admission that any member of the Reporting Persons are members of a “group” for the purposes of Sections 13(d) and 13(g)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8.</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0" w:type="dxa"/>
            <w:vAlign w:val="bottom"/>
          </w:tcPr>
          <w:p>
            <w:pPr>
              <w:spacing w:after="0"/>
              <w:rPr>
                <w:sz w:val="20"/>
                <w:szCs w:val="20"/>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r>
      <w:tr>
        <w:trPr>
          <w:trHeight w:val="385"/>
        </w:trPr>
        <w:tc>
          <w:tcPr>
            <w:tcW w:w="100" w:type="dxa"/>
            <w:vAlign w:val="bottom"/>
          </w:tcPr>
          <w:p>
            <w:pPr>
              <w:spacing w:after="0"/>
              <w:rPr>
                <w:sz w:val="24"/>
                <w:szCs w:val="24"/>
                <w:color w:val="auto"/>
              </w:rPr>
            </w:pPr>
          </w:p>
        </w:tc>
        <w:tc>
          <w:tcPr>
            <w:tcW w:w="16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Joint Filing Agreement</w:t>
            </w:r>
          </w:p>
        </w:tc>
        <w:tc>
          <w:tcPr>
            <w:tcW w:w="100" w:type="dxa"/>
            <w:vAlign w:val="bottom"/>
          </w:tcPr>
          <w:p>
            <w:pPr>
              <w:spacing w:after="0"/>
              <w:rPr>
                <w:sz w:val="24"/>
                <w:szCs w:val="24"/>
                <w:color w:val="auto"/>
              </w:rPr>
            </w:pPr>
          </w:p>
        </w:tc>
      </w:tr>
      <w:tr>
        <w:trPr>
          <w:trHeight w:val="696"/>
        </w:trPr>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2024</w:t>
            </w: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Will Wei Cheng</w:t>
            </w: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 Wei Cheng</w:t>
            </w:r>
          </w:p>
        </w:tc>
      </w:tr>
      <w:tr>
        <w:trPr>
          <w:trHeight w:val="42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Jean Qing Liu</w:t>
            </w: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Jean Qing Liu</w:t>
            </w:r>
          </w:p>
        </w:tc>
      </w:tr>
      <w:tr>
        <w:trPr>
          <w:trHeight w:val="4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Xiaocheng Investments Limited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Wei Cheng</w:t>
            </w:r>
          </w:p>
        </w:tc>
      </w:tr>
      <w:tr>
        <w:trPr>
          <w:trHeight w:val="191"/>
        </w:trPr>
        <w:tc>
          <w:tcPr>
            <w:tcW w:w="56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Wei Cheng</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Investor Link Investments Limited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Qing Liu</w:t>
            </w:r>
          </w:p>
        </w:tc>
      </w:tr>
      <w:tr>
        <w:trPr>
          <w:trHeight w:val="191"/>
        </w:trPr>
        <w:tc>
          <w:tcPr>
            <w:tcW w:w="56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Qing Liu</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Steady Prominent Limited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S.B. Vanwall Ltd., its sole director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Wai Ling</w:t>
            </w:r>
          </w:p>
        </w:tc>
      </w:tr>
      <w:tr>
        <w:trPr>
          <w:trHeight w:val="191"/>
        </w:trPr>
        <w:tc>
          <w:tcPr>
            <w:tcW w:w="564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HUI Wai Ling</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 of S.B. Vanwall Ltd.</w:t>
            </w:r>
          </w:p>
        </w:tc>
      </w:tr>
      <w:tr>
        <w:trPr>
          <w:trHeight w:val="702"/>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with respect to the ordinary shares, par value of $0.00002 per share, of DiDi Global Inc.,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SIGNATURE PAGE</w:t>
            </w:r>
          </w:p>
        </w:tc>
      </w:tr>
      <w:tr>
        <w:trPr>
          <w:trHeight w:val="432"/>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May 1, 2024.</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Will Wei Cheng</w:t>
            </w:r>
          </w:p>
        </w:tc>
        <w:tc>
          <w:tcPr>
            <w:tcW w:w="196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 Wei Cheng</w:t>
            </w:r>
          </w:p>
        </w:tc>
      </w:tr>
      <w:tr>
        <w:trPr>
          <w:trHeight w:val="4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Jean Qing Liu</w:t>
            </w:r>
          </w:p>
        </w:tc>
        <w:tc>
          <w:tcPr>
            <w:tcW w:w="196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Jean Qing Liu</w:t>
            </w:r>
          </w:p>
        </w:tc>
      </w:tr>
      <w:tr>
        <w:trPr>
          <w:trHeight w:val="42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Xiaocheng Investments Limited</w:t>
            </w:r>
          </w:p>
        </w:tc>
        <w:tc>
          <w:tcPr>
            <w:tcW w:w="19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Wei Cheng</w:t>
            </w:r>
          </w:p>
        </w:tc>
      </w:tr>
      <w:tr>
        <w:trPr>
          <w:trHeight w:val="191"/>
        </w:trPr>
        <w:tc>
          <w:tcPr>
            <w:tcW w:w="3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Wei Cheng</w:t>
            </w:r>
          </w:p>
        </w:tc>
      </w:tr>
      <w:tr>
        <w:trPr>
          <w:trHeight w:val="234"/>
        </w:trPr>
        <w:tc>
          <w:tcPr>
            <w:tcW w:w="3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Investor Link Investments Limited</w:t>
            </w:r>
          </w:p>
        </w:tc>
        <w:tc>
          <w:tcPr>
            <w:tcW w:w="19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Qing Liu</w:t>
            </w:r>
          </w:p>
        </w:tc>
      </w:tr>
      <w:tr>
        <w:trPr>
          <w:trHeight w:val="191"/>
        </w:trPr>
        <w:tc>
          <w:tcPr>
            <w:tcW w:w="3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Qing Liu</w:t>
            </w:r>
          </w:p>
        </w:tc>
      </w:tr>
      <w:tr>
        <w:trPr>
          <w:trHeight w:val="234"/>
        </w:trPr>
        <w:tc>
          <w:tcPr>
            <w:tcW w:w="3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Steady Prominent Limited</w:t>
            </w:r>
          </w:p>
        </w:tc>
        <w:tc>
          <w:tcPr>
            <w:tcW w:w="19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S.B. Vanwall Ltd., its sole director</w:t>
            </w:r>
          </w:p>
        </w:tc>
      </w:tr>
      <w:tr>
        <w:trPr>
          <w:trHeight w:val="432"/>
        </w:trPr>
        <w:tc>
          <w:tcPr>
            <w:tcW w:w="3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Wai Ling</w:t>
            </w:r>
          </w:p>
        </w:tc>
      </w:tr>
      <w:tr>
        <w:trPr>
          <w:trHeight w:val="191"/>
        </w:trPr>
        <w:tc>
          <w:tcPr>
            <w:tcW w:w="3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HUI Wai Ling</w:t>
            </w:r>
          </w:p>
        </w:tc>
      </w:tr>
      <w:tr>
        <w:trPr>
          <w:trHeight w:val="234"/>
        </w:trPr>
        <w:tc>
          <w:tcPr>
            <w:tcW w:w="3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 of S.B. Vanwall Ltd.</w:t>
            </w:r>
          </w:p>
        </w:tc>
      </w:tr>
      <w:tr>
        <w:trPr>
          <w:trHeight w:val="702"/>
        </w:trPr>
        <w:tc>
          <w:tcPr>
            <w:tcW w:w="3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2024-05-01T15:28:20Z</dcterms:created>
  <dcterms:modified xsi:type="dcterms:W3CDTF">2024-05-01T15:28:20Z</dcterms:modified>
</cp:coreProperties>
</file>