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64096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6409690"/>
                    </a:xfrm>
                    <a:prstGeom prst="rect">
                      <a:avLst/>
                    </a:prstGeom>
                    <a:noFill/>
                  </pic:spPr>
                </pic:pic>
              </a:graphicData>
            </a:graphic>
          </wp:anchor>
        </w:drawing>
      </w:r>
    </w:p>
    <w:p>
      <w:pPr>
        <w:sectPr>
          <w:pgSz w:w="11900" w:h="16838"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Lai Chunbo</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140" w:type="dxa"/>
            <w:vAlign w:val="bottom"/>
            <w:tcBorders>
              <w:top w:val="single" w:sz="8" w:color="0000EE"/>
              <w:bottom w:val="single" w:sz="8" w:color="9A9A9A"/>
            </w:tcBorders>
          </w:tcPr>
          <w:p>
            <w:pPr>
              <w:spacing w:after="0"/>
              <w:rPr>
                <w:sz w:val="17"/>
                <w:szCs w:val="17"/>
                <w:color w:val="auto"/>
              </w:rPr>
            </w:pPr>
          </w:p>
        </w:tc>
        <w:tc>
          <w:tcPr>
            <w:tcW w:w="192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03/18/2026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DiDi Global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DIDIY</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433" w:lineRule="exact"/>
        <w:rPr>
          <w:sz w:val="24"/>
          <w:szCs w:val="24"/>
          <w:color w:val="auto"/>
        </w:rPr>
      </w:pPr>
    </w:p>
    <w:p>
      <w:pPr>
        <w:sectPr>
          <w:pgSz w:w="11900" w:h="16838" w:orient="portrait"/>
          <w:cols w:equalWidth="0" w:num="2">
            <w:col w:w="4720" w:space="280"/>
            <w:col w:w="5940"/>
          </w:cols>
          <w:pgMar w:left="480" w:top="230" w:right="479" w:bottom="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497"/>
        <w:spacing w:after="0" w:line="275" w:lineRule="auto"/>
        <w:rPr>
          <w:sz w:val="20"/>
          <w:szCs w:val="20"/>
          <w:color w:val="auto"/>
        </w:rPr>
      </w:pPr>
      <w:r>
        <w:rPr>
          <w:rFonts w:ascii="Times New Roman" w:cs="Times New Roman" w:eastAsia="Times New Roman" w:hAnsi="Times New Roman"/>
          <w:sz w:val="20"/>
          <w:szCs w:val="20"/>
          <w:color w:val="0000FF"/>
        </w:rPr>
        <w:t>DIDI XINCHENGHAI, BLDG 1, YARD 6, NORTH</w:t>
      </w:r>
    </w:p>
    <w:p>
      <w:pPr>
        <w:spacing w:after="0" w:line="13"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RING RD, TANGJIALING,</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HAIDIAN DIST</w:t>
      </w:r>
    </w:p>
    <w:p>
      <w:pPr>
        <w:spacing w:after="0" w:line="313"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37" w:lineRule="exact"/>
        <w:rPr>
          <w:sz w:val="24"/>
          <w:szCs w:val="24"/>
          <w:color w:val="auto"/>
        </w:rPr>
      </w:pPr>
    </w:p>
    <w:p>
      <w:pPr>
        <w:ind w:left="140"/>
        <w:spacing w:after="0"/>
        <w:tabs>
          <w:tab w:leader="none" w:pos="1140" w:val="left"/>
        </w:tabs>
        <w:rPr>
          <w:sz w:val="20"/>
          <w:szCs w:val="20"/>
          <w:color w:val="auto"/>
        </w:rPr>
      </w:pPr>
      <w:r>
        <w:rPr>
          <w:rFonts w:ascii="Times New Roman" w:cs="Times New Roman" w:eastAsia="Times New Roman" w:hAnsi="Times New Roman"/>
          <w:sz w:val="20"/>
          <w:szCs w:val="20"/>
          <w:color w:val="0000FF"/>
        </w:rPr>
        <w:t>BEIJING</w:t>
        <w:tab/>
        <w:t>F4</w:t>
      </w:r>
    </w:p>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563"/>
        <w:spacing w:after="0"/>
        <w:rPr>
          <w:sz w:val="20"/>
          <w:szCs w:val="20"/>
          <w:color w:val="auto"/>
        </w:rPr>
      </w:pPr>
      <w:r>
        <w:rPr>
          <w:rFonts w:ascii="Times New Roman" w:cs="Times New Roman" w:eastAsia="Times New Roman" w:hAnsi="Times New Roman"/>
          <w:sz w:val="20"/>
          <w:szCs w:val="20"/>
          <w:color w:val="0000FF"/>
        </w:rPr>
        <w:t>Chief Technology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5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334" w:lineRule="exact"/>
        <w:rPr>
          <w:sz w:val="24"/>
          <w:szCs w:val="24"/>
          <w:color w:val="auto"/>
        </w:rPr>
      </w:pPr>
    </w:p>
    <w:p>
      <w:pPr>
        <w:sectPr>
          <w:pgSz w:w="11900" w:h="16838" w:orient="portrait"/>
          <w:cols w:equalWidth="0" w:num="3">
            <w:col w:w="4277" w:space="720"/>
            <w:col w:w="3003" w:space="269"/>
            <w:col w:w="2671"/>
          </w:cols>
          <w:pgMar w:left="480" w:top="230" w:right="479" w:bottom="0" w:gutter="0" w:footer="0" w:header="0"/>
          <w:type w:val="continuous"/>
        </w:sectPr>
      </w:pPr>
    </w:p>
    <w:p>
      <w:pPr>
        <w:spacing w:after="0" w:line="17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ADSs</w:t>
            </w:r>
            <w:r>
              <w:rPr>
                <w:rFonts w:ascii="Times New Roman" w:cs="Times New Roman" w:eastAsia="Times New Roman" w:hAnsi="Times New Roman"/>
                <w:sz w:val="25"/>
                <w:szCs w:val="25"/>
                <w:color w:val="008000"/>
                <w:vertAlign w:val="superscript"/>
              </w:rPr>
              <w:t>(1)</w:t>
            </w:r>
          </w:p>
        </w:tc>
        <w:tc>
          <w:tcPr>
            <w:tcW w:w="26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jc w:val="center"/>
              <w:ind w:left="49"/>
              <w:spacing w:after="0"/>
              <w:rPr>
                <w:sz w:val="20"/>
                <w:szCs w:val="20"/>
                <w:color w:val="auto"/>
              </w:rPr>
            </w:pPr>
            <w:r>
              <w:rPr>
                <w:rFonts w:ascii="Times New Roman" w:cs="Times New Roman" w:eastAsia="Times New Roman" w:hAnsi="Times New Roman"/>
                <w:sz w:val="20"/>
                <w:szCs w:val="20"/>
                <w:color w:val="0000FF"/>
                <w:w w:val="98"/>
              </w:rPr>
              <w:t>199,200</w:t>
            </w:r>
          </w:p>
        </w:tc>
        <w:tc>
          <w:tcPr>
            <w:tcW w:w="940" w:type="dxa"/>
            <w:vAlign w:val="bottom"/>
            <w:tcBorders>
              <w:bottom w:val="single" w:sz="8" w:color="2C2C2C"/>
            </w:tcBorders>
            <w:gridSpan w:val="2"/>
          </w:tcPr>
          <w:p>
            <w:pPr>
              <w:ind w:left="760"/>
              <w:spacing w:after="0"/>
              <w:rPr>
                <w:sz w:val="20"/>
                <w:szCs w:val="20"/>
                <w:color w:val="auto"/>
              </w:rPr>
            </w:pPr>
            <w:r>
              <w:rPr>
                <w:rFonts w:ascii="Times New Roman" w:cs="Times New Roman" w:eastAsia="Times New Roman" w:hAnsi="Times New Roman"/>
                <w:sz w:val="20"/>
                <w:szCs w:val="20"/>
                <w:color w:val="0000FF"/>
              </w:rPr>
              <w:t>D</w:t>
            </w:r>
          </w:p>
        </w:tc>
        <w:tc>
          <w:tcPr>
            <w:tcW w:w="9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5500" w:type="dxa"/>
            <w:vAlign w:val="bottom"/>
            <w:tcBorders>
              <w:top w:val="single" w:sz="8" w:color="2C2C2C"/>
            </w:tcBorders>
            <w:gridSpan w:val="6"/>
          </w:tcPr>
          <w:p>
            <w:pPr>
              <w:ind w:left="1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2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6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6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2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8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8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40" w:type="dxa"/>
            <w:vAlign w:val="bottom"/>
          </w:tcPr>
          <w:p>
            <w:pPr>
              <w:spacing w:after="0"/>
              <w:rPr>
                <w:sz w:val="5"/>
                <w:szCs w:val="5"/>
                <w:color w:val="auto"/>
              </w:rPr>
            </w:pPr>
          </w:p>
        </w:tc>
        <w:tc>
          <w:tcPr>
            <w:tcW w:w="940" w:type="dxa"/>
            <w:vAlign w:val="bottom"/>
            <w:gridSpan w:val="2"/>
            <w:vMerge w:val="restart"/>
          </w:tcPr>
          <w:p>
            <w:pPr>
              <w:ind w:left="16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94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40" w:type="dxa"/>
            <w:vAlign w:val="bottom"/>
            <w:gridSpan w:val="2"/>
          </w:tcPr>
          <w:p>
            <w:pPr>
              <w:ind w:left="16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40" w:type="dxa"/>
            <w:vAlign w:val="bottom"/>
            <w:gridSpan w:val="2"/>
          </w:tcPr>
          <w:p>
            <w:pPr>
              <w:ind w:left="160"/>
              <w:spacing w:after="0" w:line="165"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w w:val="98"/>
              </w:rPr>
              <w:t>Expiration</w:t>
            </w:r>
          </w:p>
        </w:tc>
        <w:tc>
          <w:tcPr>
            <w:tcW w:w="1740" w:type="dxa"/>
            <w:vAlign w:val="bottom"/>
          </w:tcPr>
          <w:p>
            <w:pPr>
              <w:spacing w:after="0"/>
              <w:rPr>
                <w:sz w:val="14"/>
                <w:szCs w:val="14"/>
                <w:color w:val="auto"/>
              </w:rPr>
            </w:pPr>
          </w:p>
        </w:tc>
        <w:tc>
          <w:tcPr>
            <w:tcW w:w="940" w:type="dxa"/>
            <w:vAlign w:val="bottom"/>
            <w:gridSpan w:val="2"/>
          </w:tcPr>
          <w:p>
            <w:pPr>
              <w:ind w:left="16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940" w:type="dxa"/>
            <w:vAlign w:val="bottom"/>
            <w:gridSpan w:val="2"/>
          </w:tcPr>
          <w:p>
            <w:pPr>
              <w:ind w:left="16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Share options (right to buy)</w:t>
            </w:r>
          </w:p>
        </w:tc>
        <w:tc>
          <w:tcPr>
            <w:tcW w:w="126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04/01/2032</w:t>
            </w:r>
          </w:p>
        </w:tc>
        <w:tc>
          <w:tcPr>
            <w:tcW w:w="1740" w:type="dxa"/>
            <w:vAlign w:val="bottom"/>
          </w:tcPr>
          <w:p>
            <w:pPr>
              <w:jc w:val="center"/>
              <w:ind w:left="9"/>
              <w:spacing w:after="0"/>
              <w:rPr>
                <w:sz w:val="20"/>
                <w:szCs w:val="20"/>
                <w:color w:val="auto"/>
              </w:rPr>
            </w:pPr>
            <w:r>
              <w:rPr>
                <w:rFonts w:ascii="Times New Roman" w:cs="Times New Roman" w:eastAsia="Times New Roman" w:hAnsi="Times New Roman"/>
                <w:sz w:val="20"/>
                <w:szCs w:val="20"/>
                <w:color w:val="0000FF"/>
                <w:w w:val="97"/>
              </w:rPr>
              <w:t>Class A ordinary</w:t>
            </w:r>
          </w:p>
        </w:tc>
        <w:tc>
          <w:tcPr>
            <w:tcW w:w="88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0000FF"/>
              </w:rPr>
              <w:t>200,000</w:t>
            </w:r>
          </w:p>
        </w:tc>
        <w:tc>
          <w:tcPr>
            <w:tcW w:w="60" w:type="dxa"/>
            <w:vAlign w:val="bottom"/>
          </w:tcPr>
          <w:p>
            <w:pPr>
              <w:spacing w:after="0"/>
              <w:rPr>
                <w:sz w:val="24"/>
                <w:szCs w:val="24"/>
                <w:color w:val="auto"/>
              </w:rPr>
            </w:pPr>
          </w:p>
        </w:tc>
        <w:tc>
          <w:tcPr>
            <w:tcW w:w="94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8000"/>
              </w:rPr>
              <w:t>(6)</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40" w:type="dxa"/>
            <w:vAlign w:val="bottom"/>
            <w:vMerge w:val="restart"/>
          </w:tcPr>
          <w:p>
            <w:pPr>
              <w:jc w:val="center"/>
              <w:ind w:left="9"/>
              <w:spacing w:after="0"/>
              <w:rPr>
                <w:sz w:val="20"/>
                <w:szCs w:val="20"/>
                <w:color w:val="auto"/>
              </w:rPr>
            </w:pPr>
            <w:r>
              <w:rPr>
                <w:rFonts w:ascii="Times New Roman" w:cs="Times New Roman" w:eastAsia="Times New Roman" w:hAnsi="Times New Roman"/>
                <w:sz w:val="20"/>
                <w:szCs w:val="20"/>
                <w:color w:val="0000FF"/>
                <w:w w:val="95"/>
              </w:rPr>
              <w:t>shares</w:t>
            </w:r>
          </w:p>
        </w:tc>
        <w:tc>
          <w:tcPr>
            <w:tcW w:w="8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40" w:type="dxa"/>
            <w:vAlign w:val="bottom"/>
            <w:vMerge w:val="continue"/>
          </w:tcPr>
          <w:p>
            <w:pPr>
              <w:spacing w:after="0"/>
              <w:rPr>
                <w:sz w:val="10"/>
                <w:szCs w:val="10"/>
                <w:color w:val="auto"/>
              </w:rPr>
            </w:pPr>
          </w:p>
        </w:tc>
        <w:tc>
          <w:tcPr>
            <w:tcW w:w="8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Share options (right to buy)</w:t>
            </w:r>
          </w:p>
        </w:tc>
        <w:tc>
          <w:tcPr>
            <w:tcW w:w="126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(3)</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04/01/2034</w:t>
            </w:r>
          </w:p>
        </w:tc>
        <w:tc>
          <w:tcPr>
            <w:tcW w:w="1740" w:type="dxa"/>
            <w:vAlign w:val="bottom"/>
          </w:tcPr>
          <w:p>
            <w:pPr>
              <w:jc w:val="center"/>
              <w:ind w:left="9"/>
              <w:spacing w:after="0"/>
              <w:rPr>
                <w:sz w:val="20"/>
                <w:szCs w:val="20"/>
                <w:color w:val="auto"/>
              </w:rPr>
            </w:pPr>
            <w:r>
              <w:rPr>
                <w:rFonts w:ascii="Times New Roman" w:cs="Times New Roman" w:eastAsia="Times New Roman" w:hAnsi="Times New Roman"/>
                <w:sz w:val="20"/>
                <w:szCs w:val="20"/>
                <w:color w:val="0000FF"/>
                <w:w w:val="97"/>
              </w:rPr>
              <w:t>Class A ordinary</w:t>
            </w:r>
          </w:p>
        </w:tc>
        <w:tc>
          <w:tcPr>
            <w:tcW w:w="88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0000FF"/>
              </w:rPr>
              <w:t>350,000</w:t>
            </w:r>
          </w:p>
        </w:tc>
        <w:tc>
          <w:tcPr>
            <w:tcW w:w="60" w:type="dxa"/>
            <w:vAlign w:val="bottom"/>
          </w:tcPr>
          <w:p>
            <w:pPr>
              <w:spacing w:after="0"/>
              <w:rPr>
                <w:sz w:val="24"/>
                <w:szCs w:val="24"/>
                <w:color w:val="auto"/>
              </w:rPr>
            </w:pPr>
          </w:p>
        </w:tc>
        <w:tc>
          <w:tcPr>
            <w:tcW w:w="94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8000"/>
              </w:rPr>
              <w:t>(6)</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40" w:type="dxa"/>
            <w:vAlign w:val="bottom"/>
            <w:vMerge w:val="restart"/>
          </w:tcPr>
          <w:p>
            <w:pPr>
              <w:jc w:val="center"/>
              <w:ind w:left="9"/>
              <w:spacing w:after="0"/>
              <w:rPr>
                <w:sz w:val="20"/>
                <w:szCs w:val="20"/>
                <w:color w:val="auto"/>
              </w:rPr>
            </w:pPr>
            <w:r>
              <w:rPr>
                <w:rFonts w:ascii="Times New Roman" w:cs="Times New Roman" w:eastAsia="Times New Roman" w:hAnsi="Times New Roman"/>
                <w:sz w:val="20"/>
                <w:szCs w:val="20"/>
                <w:color w:val="0000FF"/>
                <w:w w:val="95"/>
              </w:rPr>
              <w:t>shares</w:t>
            </w:r>
          </w:p>
        </w:tc>
        <w:tc>
          <w:tcPr>
            <w:tcW w:w="8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40" w:type="dxa"/>
            <w:vAlign w:val="bottom"/>
            <w:vMerge w:val="continue"/>
          </w:tcPr>
          <w:p>
            <w:pPr>
              <w:spacing w:after="0"/>
              <w:rPr>
                <w:sz w:val="10"/>
                <w:szCs w:val="10"/>
                <w:color w:val="auto"/>
              </w:rPr>
            </w:pPr>
          </w:p>
        </w:tc>
        <w:tc>
          <w:tcPr>
            <w:tcW w:w="8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Share options (right to buy)</w:t>
            </w:r>
          </w:p>
        </w:tc>
        <w:tc>
          <w:tcPr>
            <w:tcW w:w="126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(4)</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04/01/2035</w:t>
            </w:r>
          </w:p>
        </w:tc>
        <w:tc>
          <w:tcPr>
            <w:tcW w:w="1740" w:type="dxa"/>
            <w:vAlign w:val="bottom"/>
          </w:tcPr>
          <w:p>
            <w:pPr>
              <w:jc w:val="center"/>
              <w:ind w:left="9"/>
              <w:spacing w:after="0"/>
              <w:rPr>
                <w:sz w:val="20"/>
                <w:szCs w:val="20"/>
                <w:color w:val="auto"/>
              </w:rPr>
            </w:pPr>
            <w:r>
              <w:rPr>
                <w:rFonts w:ascii="Times New Roman" w:cs="Times New Roman" w:eastAsia="Times New Roman" w:hAnsi="Times New Roman"/>
                <w:sz w:val="20"/>
                <w:szCs w:val="20"/>
                <w:color w:val="0000FF"/>
                <w:w w:val="97"/>
              </w:rPr>
              <w:t>Class A ordinary</w:t>
            </w:r>
          </w:p>
        </w:tc>
        <w:tc>
          <w:tcPr>
            <w:tcW w:w="88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0000FF"/>
              </w:rPr>
              <w:t>200,000</w:t>
            </w:r>
          </w:p>
        </w:tc>
        <w:tc>
          <w:tcPr>
            <w:tcW w:w="60" w:type="dxa"/>
            <w:vAlign w:val="bottom"/>
          </w:tcPr>
          <w:p>
            <w:pPr>
              <w:spacing w:after="0"/>
              <w:rPr>
                <w:sz w:val="24"/>
                <w:szCs w:val="24"/>
                <w:color w:val="auto"/>
              </w:rPr>
            </w:pPr>
          </w:p>
        </w:tc>
        <w:tc>
          <w:tcPr>
            <w:tcW w:w="94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8000"/>
              </w:rPr>
              <w:t>(6)</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40" w:type="dxa"/>
            <w:vAlign w:val="bottom"/>
            <w:vMerge w:val="restart"/>
          </w:tcPr>
          <w:p>
            <w:pPr>
              <w:jc w:val="center"/>
              <w:ind w:left="9"/>
              <w:spacing w:after="0"/>
              <w:rPr>
                <w:sz w:val="20"/>
                <w:szCs w:val="20"/>
                <w:color w:val="auto"/>
              </w:rPr>
            </w:pPr>
            <w:r>
              <w:rPr>
                <w:rFonts w:ascii="Times New Roman" w:cs="Times New Roman" w:eastAsia="Times New Roman" w:hAnsi="Times New Roman"/>
                <w:sz w:val="20"/>
                <w:szCs w:val="20"/>
                <w:color w:val="0000FF"/>
                <w:w w:val="95"/>
              </w:rPr>
              <w:t>shares</w:t>
            </w:r>
          </w:p>
        </w:tc>
        <w:tc>
          <w:tcPr>
            <w:tcW w:w="8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40" w:type="dxa"/>
            <w:vAlign w:val="bottom"/>
            <w:vMerge w:val="continue"/>
          </w:tcPr>
          <w:p>
            <w:pPr>
              <w:spacing w:after="0"/>
              <w:rPr>
                <w:sz w:val="10"/>
                <w:szCs w:val="10"/>
                <w:color w:val="auto"/>
              </w:rPr>
            </w:pPr>
          </w:p>
        </w:tc>
        <w:tc>
          <w:tcPr>
            <w:tcW w:w="8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Share options (right to buy)</w:t>
            </w:r>
          </w:p>
        </w:tc>
        <w:tc>
          <w:tcPr>
            <w:tcW w:w="126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(5)</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02/01/2036</w:t>
            </w:r>
          </w:p>
        </w:tc>
        <w:tc>
          <w:tcPr>
            <w:tcW w:w="1740" w:type="dxa"/>
            <w:vAlign w:val="bottom"/>
          </w:tcPr>
          <w:p>
            <w:pPr>
              <w:jc w:val="center"/>
              <w:ind w:left="9"/>
              <w:spacing w:after="0"/>
              <w:rPr>
                <w:sz w:val="20"/>
                <w:szCs w:val="20"/>
                <w:color w:val="auto"/>
              </w:rPr>
            </w:pPr>
            <w:r>
              <w:rPr>
                <w:rFonts w:ascii="Times New Roman" w:cs="Times New Roman" w:eastAsia="Times New Roman" w:hAnsi="Times New Roman"/>
                <w:sz w:val="20"/>
                <w:szCs w:val="20"/>
                <w:color w:val="0000FF"/>
                <w:w w:val="97"/>
              </w:rPr>
              <w:t>Class A ordinary</w:t>
            </w:r>
          </w:p>
        </w:tc>
        <w:tc>
          <w:tcPr>
            <w:tcW w:w="88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0000FF"/>
              </w:rPr>
              <w:t>200,000</w:t>
            </w:r>
          </w:p>
        </w:tc>
        <w:tc>
          <w:tcPr>
            <w:tcW w:w="60" w:type="dxa"/>
            <w:vAlign w:val="bottom"/>
          </w:tcPr>
          <w:p>
            <w:pPr>
              <w:spacing w:after="0"/>
              <w:rPr>
                <w:sz w:val="24"/>
                <w:szCs w:val="24"/>
                <w:color w:val="auto"/>
              </w:rPr>
            </w:pPr>
          </w:p>
        </w:tc>
        <w:tc>
          <w:tcPr>
            <w:tcW w:w="94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8000"/>
              </w:rPr>
              <w:t>(6)</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40" w:type="dxa"/>
            <w:vAlign w:val="bottom"/>
            <w:vMerge w:val="restart"/>
          </w:tcPr>
          <w:p>
            <w:pPr>
              <w:jc w:val="center"/>
              <w:ind w:left="9"/>
              <w:spacing w:after="0"/>
              <w:rPr>
                <w:sz w:val="20"/>
                <w:szCs w:val="20"/>
                <w:color w:val="auto"/>
              </w:rPr>
            </w:pPr>
            <w:r>
              <w:rPr>
                <w:rFonts w:ascii="Times New Roman" w:cs="Times New Roman" w:eastAsia="Times New Roman" w:hAnsi="Times New Roman"/>
                <w:sz w:val="20"/>
                <w:szCs w:val="20"/>
                <w:color w:val="0000FF"/>
                <w:w w:val="95"/>
              </w:rPr>
              <w:t>shares</w:t>
            </w:r>
          </w:p>
        </w:tc>
        <w:tc>
          <w:tcPr>
            <w:tcW w:w="8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40" w:type="dxa"/>
            <w:vAlign w:val="bottom"/>
            <w:vMerge w:val="continue"/>
          </w:tcPr>
          <w:p>
            <w:pPr>
              <w:spacing w:after="0"/>
              <w:rPr>
                <w:sz w:val="10"/>
                <w:szCs w:val="10"/>
                <w:color w:val="auto"/>
              </w:rPr>
            </w:pPr>
          </w:p>
        </w:tc>
        <w:tc>
          <w:tcPr>
            <w:tcW w:w="8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2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"ADSs" refers to the issuer's American Depositary Shares, four of which represent one class A ordinary share of the issuer.</w:t>
      </w:r>
    </w:p>
    <w:p>
      <w:pPr>
        <w:spacing w:after="0" w:line="52" w:lineRule="exact"/>
        <w:rPr>
          <w:rFonts w:ascii="Times New Roman" w:cs="Times New Roman" w:eastAsia="Times New Roman" w:hAnsi="Times New Roman"/>
          <w:sz w:val="15"/>
          <w:szCs w:val="15"/>
          <w:color w:val="008000"/>
        </w:rPr>
      </w:pPr>
    </w:p>
    <w:p>
      <w:pPr>
        <w:ind w:left="40" w:right="44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Represents options granted to the reporting person pursuant to the issuer's share incentive plans, of which 150,000 options have vested as of the date of this Form 3, and the remaining 50,000 options will vest on April 1, 2026.</w:t>
      </w:r>
    </w:p>
    <w:p>
      <w:pPr>
        <w:spacing w:after="0" w:line="17" w:lineRule="exact"/>
        <w:rPr>
          <w:rFonts w:ascii="Times New Roman" w:cs="Times New Roman" w:eastAsia="Times New Roman" w:hAnsi="Times New Roman"/>
          <w:sz w:val="15"/>
          <w:szCs w:val="15"/>
          <w:color w:val="008000"/>
        </w:rPr>
      </w:pPr>
    </w:p>
    <w:p>
      <w:pPr>
        <w:ind w:left="40" w:right="50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Represents options granted to the reporting person pursuant to the issuer's share incentive plans, of which 87,500 options have vested as of the date of this Form 3, and the remaining 262,500 options will vest in three equal annual installments, beginning on April 1, 2026.</w:t>
      </w:r>
    </w:p>
    <w:p>
      <w:pPr>
        <w:spacing w:after="0" w:line="17"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Represents options granted to the reporting person pursuant to the issuer's share incentive plans, all of which will vest on April 1, 2029.</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Represents options granted to the reporting person pursuant to the issuer's share incentive plans, all of which will vest on February 1, 2030.</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exercise price is $0.0001823.</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0000FF"/>
                <w:w w:val="95"/>
              </w:rPr>
              <w:t>/s/ Chunbo Lai</w:t>
            </w:r>
          </w:p>
        </w:tc>
        <w:tc>
          <w:tcPr>
            <w:tcW w:w="1020" w:type="dxa"/>
            <w:vAlign w:val="bottom"/>
          </w:tcPr>
          <w:p>
            <w:pPr>
              <w:spacing w:after="0"/>
              <w:rPr>
                <w:sz w:val="19"/>
                <w:szCs w:val="19"/>
                <w:color w:val="auto"/>
              </w:rPr>
            </w:pP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0000FF"/>
                <w:w w:val="96"/>
              </w:rPr>
              <w:t>03/18/2026</w:t>
            </w: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spacing w:after="0"/>
        <w:rPr>
          <w:rFonts w:ascii="Arial" w:cs="Arial" w:eastAsia="Arial" w:hAnsi="Arial"/>
          <w:sz w:val="14"/>
          <w:szCs w:val="14"/>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w:t>
      </w:r>
    </w:p>
    <w:p>
      <w:pPr>
        <w:sectPr>
          <w:pgSz w:w="11900" w:h="16838" w:orient="portrait"/>
          <w:cols w:equalWidth="0" w:num="1">
            <w:col w:w="10940"/>
          </w:cols>
          <w:pgMar w:left="480" w:top="230" w:right="479" w:bottom="0" w:gutter="0" w:footer="0" w:header="0"/>
          <w:type w:val="continuous"/>
        </w:sectPr>
      </w:pPr>
    </w:p>
    <w:bookmarkStart w:id="1" w:name="page2"/>
    <w:bookmarkEnd w:id="1"/>
    <w:p>
      <w:pPr>
        <w:spacing w:after="0"/>
        <w:rPr>
          <w:sz w:val="20"/>
          <w:szCs w:val="20"/>
          <w:color w:val="auto"/>
        </w:rPr>
      </w:pPr>
      <w:r>
        <w:rPr>
          <w:rFonts w:ascii="Arial" w:cs="Arial" w:eastAsia="Arial" w:hAnsi="Arial"/>
          <w:sz w:val="14"/>
          <w:szCs w:val="14"/>
          <w:b w:val="1"/>
          <w:bCs w:val="1"/>
          <w:color w:val="auto"/>
        </w:rPr>
        <w:t>Number.</w:t>
      </w:r>
    </w:p>
    <w:sectPr>
      <w:pgSz w:w="11900" w:h="16838" w:orient="portrait"/>
      <w:cols w:equalWidth="0" w:num="1">
        <w:col w:w="9939"/>
      </w:cols>
      <w:pgMar w:left="520" w:top="12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2109960" TargetMode="External"/><Relationship Id="rId11" Type="http://schemas.openxmlformats.org/officeDocument/2006/relationships/hyperlink" Target="http://www.sec.gov/cgi-bin/browse-edgar?action=getcompany&amp;CIK=000176475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2026-03-18T16:44:26Z</dcterms:created>
  <dcterms:modified xsi:type="dcterms:W3CDTF">2026-03-18T16:44:26Z</dcterms:modified>
</cp:coreProperties>
</file>